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7F0BD4" w:rsidP="00951902">
      <w:pPr>
        <w:ind w:left="-1170"/>
        <w:rPr>
          <w:noProof/>
        </w:rPr>
      </w:pPr>
      <w:r w:rsidRPr="0064235B">
        <w:rPr>
          <w:noProof/>
        </w:rPr>
        <w:drawing>
          <wp:anchor distT="0" distB="0" distL="114300" distR="114300" simplePos="0" relativeHeight="251655680" behindDoc="0" locked="0" layoutInCell="1" allowOverlap="1" wp14:anchorId="4C62B5B3" wp14:editId="01E171D7">
            <wp:simplePos x="0" y="0"/>
            <wp:positionH relativeFrom="column">
              <wp:posOffset>4626610</wp:posOffset>
            </wp:positionH>
            <wp:positionV relativeFrom="paragraph">
              <wp:posOffset>-614680</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00951902" w:rsidRPr="0064235B">
        <w:rPr>
          <w:noProof/>
        </w:rPr>
        <w:drawing>
          <wp:anchor distT="0" distB="0" distL="114300" distR="114300" simplePos="0" relativeHeight="251654656" behindDoc="0" locked="0" layoutInCell="1" allowOverlap="1" wp14:anchorId="40D90877" wp14:editId="6126A26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E7371E" w:rsidP="00951902">
      <w:pPr>
        <w:ind w:left="-1170"/>
        <w:rPr>
          <w:noProof/>
        </w:rPr>
      </w:pPr>
      <w:r w:rsidRPr="0064235B">
        <w:rPr>
          <w:noProof/>
        </w:rPr>
        <mc:AlternateContent>
          <mc:Choice Requires="wps">
            <w:drawing>
              <wp:anchor distT="0" distB="0" distL="114300" distR="114300" simplePos="0" relativeHeight="251653632" behindDoc="0" locked="0" layoutInCell="1" allowOverlap="1" wp14:anchorId="223082B0" wp14:editId="3A1261CB">
                <wp:simplePos x="0" y="0"/>
                <wp:positionH relativeFrom="column">
                  <wp:posOffset>1255363</wp:posOffset>
                </wp:positionH>
                <wp:positionV relativeFrom="paragraph">
                  <wp:posOffset>4843</wp:posOffset>
                </wp:positionV>
                <wp:extent cx="5116830" cy="1185416"/>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185416"/>
                        </a:xfrm>
                        <a:prstGeom prst="rect">
                          <a:avLst/>
                        </a:prstGeom>
                      </wps:spPr>
                      <wps:txbx>
                        <w:txbxContent>
                          <w:p w:rsidR="00F45ACF" w:rsidRPr="00E7371E" w:rsidRDefault="00F45ACF" w:rsidP="00624059">
                            <w:pPr>
                              <w:spacing w:line="260" w:lineRule="exact"/>
                              <w:jc w:val="center"/>
                              <w:rPr>
                                <w:rFonts w:ascii="Times New Roman" w:hAnsi="Times New Roman"/>
                                <w:b/>
                                <w:sz w:val="16"/>
                                <w:szCs w:val="16"/>
                              </w:rPr>
                            </w:pPr>
                          </w:p>
                          <w:p w:rsidR="00F45ACF" w:rsidRPr="00E7371E" w:rsidRDefault="00F45ACF" w:rsidP="00F45ACF">
                            <w:pPr>
                              <w:spacing w:after="0" w:line="260" w:lineRule="exact"/>
                              <w:jc w:val="center"/>
                              <w:rPr>
                                <w:b/>
                                <w:sz w:val="10"/>
                                <w:szCs w:val="10"/>
                              </w:rPr>
                            </w:pPr>
                            <w:r w:rsidRPr="00F45ACF">
                              <w:rPr>
                                <w:b/>
                                <w:sz w:val="32"/>
                                <w:szCs w:val="32"/>
                              </w:rPr>
                              <w:t>Analysis and Applications of Ionically Crosslinked Polyelectrolytes</w:t>
                            </w:r>
                          </w:p>
                          <w:p w:rsidR="00F45ACF" w:rsidRPr="00E7371E" w:rsidRDefault="00F45ACF" w:rsidP="00624059">
                            <w:pPr>
                              <w:spacing w:after="0" w:line="260" w:lineRule="exact"/>
                              <w:jc w:val="center"/>
                              <w:rPr>
                                <w:rFonts w:ascii="Times New Roman" w:hAnsi="Times New Roman"/>
                                <w:b/>
                                <w:sz w:val="10"/>
                                <w:szCs w:val="10"/>
                              </w:rPr>
                            </w:pPr>
                          </w:p>
                          <w:p w:rsidR="00F45ACF" w:rsidRPr="00E7371E" w:rsidRDefault="00F45ACF" w:rsidP="00F45ACF">
                            <w:pPr>
                              <w:spacing w:after="0" w:line="260" w:lineRule="exact"/>
                              <w:jc w:val="center"/>
                              <w:rPr>
                                <w:rFonts w:ascii="Times New Roman" w:hAnsi="Times New Roman"/>
                                <w:b/>
                                <w:sz w:val="28"/>
                                <w:szCs w:val="28"/>
                              </w:rPr>
                            </w:pPr>
                            <w:r w:rsidRPr="00E7371E">
                              <w:rPr>
                                <w:rFonts w:ascii="Times New Roman" w:hAnsi="Times New Roman"/>
                                <w:b/>
                                <w:sz w:val="28"/>
                                <w:szCs w:val="28"/>
                              </w:rPr>
                              <w:t>Yakov Lapitsky</w:t>
                            </w:r>
                          </w:p>
                          <w:p w:rsidR="00F45ACF" w:rsidRDefault="00D84AF3" w:rsidP="00624059">
                            <w:pPr>
                              <w:spacing w:after="0" w:line="260" w:lineRule="exact"/>
                              <w:jc w:val="center"/>
                              <w:rPr>
                                <w:rFonts w:ascii="Times New Roman" w:hAnsi="Times New Roman"/>
                              </w:rPr>
                            </w:pPr>
                            <w:r>
                              <w:rPr>
                                <w:i/>
                              </w:rPr>
                              <w:t>Department of Chemical Engineering University of Toledo</w:t>
                            </w:r>
                          </w:p>
                          <w:p w:rsidR="00F45ACF" w:rsidRDefault="00F45ACF" w:rsidP="00F45ACF">
                            <w:pPr>
                              <w:spacing w:after="0" w:line="260" w:lineRule="exact"/>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23082B0" id="Rectangle 9" o:spid="_x0000_s1026" style="position:absolute;left:0;text-align:left;margin-left:98.85pt;margin-top:.4pt;width:402.9pt;height:9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" filled="f" stroked="f">
                <v:textbox>
                  <w:txbxContent>
                    <w:p w:rsidR="00F45ACF" w:rsidRPr="00E7371E" w:rsidRDefault="00F45ACF" w:rsidP="00624059">
                      <w:pPr>
                        <w:spacing w:line="260" w:lineRule="exact"/>
                        <w:jc w:val="center"/>
                        <w:rPr>
                          <w:rFonts w:ascii="Times New Roman" w:hAnsi="Times New Roman"/>
                          <w:b/>
                          <w:sz w:val="16"/>
                          <w:szCs w:val="16"/>
                        </w:rPr>
                      </w:pPr>
                    </w:p>
                    <w:p w:rsidR="00F45ACF" w:rsidRPr="00E7371E" w:rsidRDefault="00F45ACF" w:rsidP="00F45ACF">
                      <w:pPr>
                        <w:spacing w:after="0" w:line="260" w:lineRule="exact"/>
                        <w:jc w:val="center"/>
                        <w:rPr>
                          <w:b/>
                          <w:sz w:val="10"/>
                          <w:szCs w:val="10"/>
                        </w:rPr>
                      </w:pPr>
                      <w:r w:rsidRPr="00F45ACF">
                        <w:rPr>
                          <w:b/>
                          <w:sz w:val="32"/>
                          <w:szCs w:val="32"/>
                        </w:rPr>
                        <w:t>Analysis and Applications of Ionically Crosslinked Polyelectrolytes</w:t>
                      </w:r>
                    </w:p>
                    <w:p w:rsidR="00F45ACF" w:rsidRPr="00E7371E" w:rsidRDefault="00F45ACF" w:rsidP="00624059">
                      <w:pPr>
                        <w:spacing w:after="0" w:line="260" w:lineRule="exact"/>
                        <w:jc w:val="center"/>
                        <w:rPr>
                          <w:rFonts w:ascii="Times New Roman" w:hAnsi="Times New Roman"/>
                          <w:b/>
                          <w:sz w:val="10"/>
                          <w:szCs w:val="10"/>
                        </w:rPr>
                      </w:pPr>
                    </w:p>
                    <w:p w:rsidR="00F45ACF" w:rsidRPr="00E7371E" w:rsidRDefault="00F45ACF" w:rsidP="00F45ACF">
                      <w:pPr>
                        <w:spacing w:after="0" w:line="260" w:lineRule="exact"/>
                        <w:jc w:val="center"/>
                        <w:rPr>
                          <w:rFonts w:ascii="Times New Roman" w:hAnsi="Times New Roman"/>
                          <w:b/>
                          <w:sz w:val="28"/>
                          <w:szCs w:val="28"/>
                        </w:rPr>
                      </w:pPr>
                      <w:r w:rsidRPr="00E7371E">
                        <w:rPr>
                          <w:rFonts w:ascii="Times New Roman" w:hAnsi="Times New Roman"/>
                          <w:b/>
                          <w:sz w:val="28"/>
                          <w:szCs w:val="28"/>
                        </w:rPr>
                        <w:t>Yakov Lapitsky</w:t>
                      </w:r>
                    </w:p>
                    <w:p w:rsidR="00F45ACF" w:rsidRDefault="00D84AF3" w:rsidP="00624059">
                      <w:pPr>
                        <w:spacing w:after="0" w:line="260" w:lineRule="exact"/>
                        <w:jc w:val="center"/>
                        <w:rPr>
                          <w:rFonts w:ascii="Times New Roman" w:hAnsi="Times New Roman"/>
                        </w:rPr>
                      </w:pPr>
                      <w:r>
                        <w:rPr>
                          <w:i/>
                        </w:rPr>
                        <w:t>Department of Chemical Engineering University of Toledo</w:t>
                      </w:r>
                    </w:p>
                    <w:p w:rsidR="00F45ACF" w:rsidRDefault="00F45ACF" w:rsidP="00F45ACF">
                      <w:pPr>
                        <w:spacing w:after="0" w:line="260" w:lineRule="exact"/>
                        <w:jc w:val="center"/>
                        <w:rPr>
                          <w:b/>
                          <w:sz w:val="28"/>
                          <w:szCs w:val="28"/>
                        </w:rPr>
                      </w:pPr>
                    </w:p>
                  </w:txbxContent>
                </v:textbox>
              </v:rect>
            </w:pict>
          </mc:Fallback>
        </mc:AlternateContent>
      </w:r>
    </w:p>
    <w:p w:rsidR="00951902" w:rsidRDefault="005C524E" w:rsidP="00951902">
      <w:pPr>
        <w:ind w:left="-1170"/>
        <w:rPr>
          <w:noProof/>
        </w:rPr>
      </w:pPr>
      <w:r>
        <w:rPr>
          <w:noProof/>
        </w:rPr>
        <w:drawing>
          <wp:anchor distT="0" distB="0" distL="114300" distR="114300" simplePos="0" relativeHeight="251669504" behindDoc="1" locked="0" layoutInCell="1" allowOverlap="1" wp14:anchorId="3FC1721D" wp14:editId="7B43A80F">
            <wp:simplePos x="0" y="0"/>
            <wp:positionH relativeFrom="column">
              <wp:posOffset>-708531</wp:posOffset>
            </wp:positionH>
            <wp:positionV relativeFrom="paragraph">
              <wp:posOffset>130175</wp:posOffset>
            </wp:positionV>
            <wp:extent cx="1569492" cy="252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69492" cy="2520400"/>
                    </a:xfrm>
                    <a:prstGeom prst="rect">
                      <a:avLst/>
                    </a:prstGeom>
                    <a:noFill/>
                  </pic:spPr>
                </pic:pic>
              </a:graphicData>
            </a:graphic>
            <wp14:sizeRelH relativeFrom="margin">
              <wp14:pctWidth>0</wp14:pctWidth>
            </wp14:sizeRelH>
            <wp14:sizeRelV relativeFrom="margin">
              <wp14:pctHeight>0</wp14:pctHeight>
            </wp14:sizeRelV>
          </wp:anchor>
        </w:drawing>
      </w:r>
    </w:p>
    <w:p w:rsidR="00774432" w:rsidRDefault="00D84AF3" w:rsidP="00951902">
      <w:pPr>
        <w:ind w:left="-900" w:hanging="90"/>
      </w:pPr>
      <w:r w:rsidRPr="0064235B">
        <w:rPr>
          <w:noProof/>
        </w:rPr>
        <mc:AlternateContent>
          <mc:Choice Requires="wps">
            <w:drawing>
              <wp:anchor distT="0" distB="0" distL="114300" distR="114300" simplePos="0" relativeHeight="251664896" behindDoc="0" locked="0" layoutInCell="1" allowOverlap="1" wp14:anchorId="28AB2321" wp14:editId="486F7078">
                <wp:simplePos x="0" y="0"/>
                <wp:positionH relativeFrom="column">
                  <wp:posOffset>1095555</wp:posOffset>
                </wp:positionH>
                <wp:positionV relativeFrom="paragraph">
                  <wp:posOffset>622814</wp:posOffset>
                </wp:positionV>
                <wp:extent cx="5629418" cy="7746521"/>
                <wp:effectExtent l="0" t="0" r="0" b="0"/>
                <wp:wrapNone/>
                <wp:docPr id="4" name="TextBox 3"/>
                <wp:cNvGraphicFramePr/>
                <a:graphic xmlns:a="http://schemas.openxmlformats.org/drawingml/2006/main">
                  <a:graphicData uri="http://schemas.microsoft.com/office/word/2010/wordprocessingShape">
                    <wps:wsp>
                      <wps:cNvSpPr txBox="1"/>
                      <wps:spPr>
                        <a:xfrm>
                          <a:off x="0" y="0"/>
                          <a:ext cx="5629418" cy="7746521"/>
                        </a:xfrm>
                        <a:prstGeom prst="rect">
                          <a:avLst/>
                        </a:prstGeom>
                        <a:noFill/>
                      </wps:spPr>
                      <wps:txbx>
                        <w:txbxContent>
                          <w:p w:rsidR="00F45ACF" w:rsidRPr="005C524E" w:rsidRDefault="00F45ACF" w:rsidP="00F45ACF">
                            <w:pPr>
                              <w:shd w:val="clear" w:color="auto" w:fill="FFFFFF"/>
                              <w:spacing w:after="0" w:line="240" w:lineRule="auto"/>
                              <w:jc w:val="both"/>
                              <w:rPr>
                                <w:rStyle w:val="Strong"/>
                                <w:rFonts w:ascii="Calibri" w:hAnsi="Calibri" w:cs="Calibri"/>
                                <w:color w:val="000000"/>
                                <w:sz w:val="19"/>
                                <w:szCs w:val="19"/>
                                <w:shd w:val="clear" w:color="auto" w:fill="FFFFFF"/>
                              </w:rPr>
                            </w:pPr>
                            <w:r w:rsidRPr="005C524E">
                              <w:rPr>
                                <w:rStyle w:val="Strong"/>
                                <w:rFonts w:ascii="Calibri" w:hAnsi="Calibri" w:cs="Calibri"/>
                                <w:color w:val="000000"/>
                                <w:sz w:val="19"/>
                                <w:szCs w:val="19"/>
                                <w:shd w:val="clear" w:color="auto" w:fill="FFFFFF"/>
                              </w:rPr>
                              <w:t>Abstract</w:t>
                            </w:r>
                          </w:p>
                          <w:p w:rsidR="00F45ACF" w:rsidRPr="005C524E" w:rsidRDefault="00F45ACF" w:rsidP="00AD51E3">
                            <w:pPr>
                              <w:spacing w:line="240" w:lineRule="auto"/>
                              <w:ind w:firstLine="720"/>
                              <w:jc w:val="both"/>
                              <w:rPr>
                                <w:sz w:val="19"/>
                                <w:szCs w:val="19"/>
                              </w:rPr>
                            </w:pPr>
                            <w:r w:rsidRPr="005C524E">
                              <w:rPr>
                                <w:sz w:val="19"/>
                                <w:szCs w:val="19"/>
                              </w:rPr>
                              <w:t xml:space="preserve">Polyelectrolytes are polymers that bear ionic groups on their repeat units, which enable their self-assembly into a wide array of soft materials and complex fluids. These supramolecular structures are ubiquitous in applications ranging from household products (e.g., personal care, cleaning and paint formulations), to pharmaceutics, to water treatment and emerging energy applications. Despite this widespread use, however, the performance of these structures is often limited by an incomplete understanding of the molecular and colloidal interactions that underlie their properties. To this end, the overarching goals of our research are to: (1) advance the mechanistic understanding of the parameters that control polyelectrolyte-based soft material properties; and (2) exploit this understanding to develop new technologies. This seminar will provide two examples of our efforts toward these goals.    </w:t>
                            </w:r>
                            <w:bookmarkStart w:id="0" w:name="_GoBack"/>
                            <w:bookmarkEnd w:id="0"/>
                          </w:p>
                          <w:p w:rsidR="00F45ACF" w:rsidRPr="00D84AF3" w:rsidRDefault="00F45ACF" w:rsidP="00AD51E3">
                            <w:pPr>
                              <w:spacing w:line="240" w:lineRule="auto"/>
                              <w:ind w:firstLine="720"/>
                              <w:jc w:val="both"/>
                              <w:rPr>
                                <w:sz w:val="12"/>
                                <w:szCs w:val="12"/>
                              </w:rPr>
                            </w:pPr>
                            <w:r w:rsidRPr="005C524E">
                              <w:rPr>
                                <w:sz w:val="19"/>
                                <w:szCs w:val="19"/>
                              </w:rPr>
                              <w:t>On the fundamental side, I will present some of our work on micro- and nanoparticles for drug delivery. Biobased micro- and nanogels ranging from tens of nanometers to microns in diameter can be prepared by ionically crosslinking chitosan with tripolyphosphate (TPP). These soft materials attract widespread interest as potential drug and gene carriers. Accordingly, numerous experiments have been performed to characterize the effects of process and formulation parameters on their size distributions, stability and payload uptake/release properties. Despite these efforts, however, the mechanism of their formation has for many years remained poorly understood. This lack of understanding stemmed (at least in part) from the very rapid kinetics of chitosan/TPP gelation, which made the micro- and nanogel formation process very difficult to study. To address this, we used stopped-flow and dynamic light scattering (DLS), isothermal titration calorimetry (ITC) and transmission electron microscopy (TEM) to dissect the mechanism of ionotropic chitosan/TPP gelation in the presence of monovalent salt (NaCl). This revealed the micro- and nanogel formation rates to be extremely sensitive to TPP and NaCl concentrations, and to scale approximately with [TPP]</w:t>
                            </w:r>
                            <w:r w:rsidRPr="005C524E">
                              <w:rPr>
                                <w:sz w:val="19"/>
                                <w:szCs w:val="19"/>
                                <w:vertAlign w:val="superscript"/>
                              </w:rPr>
                              <w:t>5</w:t>
                            </w:r>
                            <w:r w:rsidRPr="005C524E">
                              <w:rPr>
                                <w:sz w:val="19"/>
                                <w:szCs w:val="19"/>
                              </w:rPr>
                              <w:t xml:space="preserve"> and [NaCl]</w:t>
                            </w:r>
                            <w:r w:rsidRPr="005C524E">
                              <w:rPr>
                                <w:sz w:val="19"/>
                                <w:szCs w:val="19"/>
                                <w:vertAlign w:val="superscript"/>
                              </w:rPr>
                              <w:t>-5</w:t>
                            </w:r>
                            <w:r w:rsidRPr="005C524E">
                              <w:rPr>
                                <w:sz w:val="19"/>
                                <w:szCs w:val="19"/>
                              </w:rPr>
                              <w:t xml:space="preserve">. By slowing down their formation using high NaCl and low TPP concentrations, we were able to probe the temporal evolutions in micro- and nanogel structure by DLS and TEM. The ionotropic gelation was shown to occur in two stages: first, the formation of small primary nanoparticles (average diameter ~ 30 nm); then, their secondary aggregation into larger micro- and nanogels. Moreover, by slowing down the ionotropic gelation process, we were able to enhance colloidal stability during chitosan/TPP mixing, and produce particles with more-uniform size distributions. </w:t>
                            </w:r>
                          </w:p>
                          <w:p w:rsidR="00F45ACF" w:rsidRPr="005C524E" w:rsidRDefault="00F45ACF" w:rsidP="00AD51E3">
                            <w:pPr>
                              <w:spacing w:after="60" w:line="240" w:lineRule="auto"/>
                              <w:ind w:firstLine="720"/>
                              <w:jc w:val="both"/>
                              <w:rPr>
                                <w:sz w:val="19"/>
                                <w:szCs w:val="19"/>
                              </w:rPr>
                            </w:pPr>
                            <w:r w:rsidRPr="005C524E">
                              <w:rPr>
                                <w:sz w:val="19"/>
                                <w:szCs w:val="19"/>
                              </w:rPr>
                              <w:t>On the application side, I will also describe how, by crosslinking poly</w:t>
                            </w:r>
                            <w:r w:rsidR="00AD51E3">
                              <w:rPr>
                                <w:sz w:val="19"/>
                                <w:szCs w:val="19"/>
                              </w:rPr>
                              <w:t xml:space="preserve"> </w:t>
                            </w:r>
                            <w:r w:rsidRPr="005C524E">
                              <w:rPr>
                                <w:sz w:val="19"/>
                                <w:szCs w:val="19"/>
                              </w:rPr>
                              <w:t>(allylamine hydrochloride) (PAH) with either TPP or pyrophosphate (PPi), ionotropic gelation can produce gel-like coacervates that adhere to both hydrophilic and hydrophobic surfaces under water. These complexes can deliver short-term adhesion strengths above 10</w:t>
                            </w:r>
                            <w:r w:rsidRPr="005C524E">
                              <w:rPr>
                                <w:sz w:val="19"/>
                                <w:szCs w:val="19"/>
                                <w:vertAlign w:val="superscript"/>
                              </w:rPr>
                              <w:t>5</w:t>
                            </w:r>
                            <w:r w:rsidRPr="005C524E">
                              <w:rPr>
                                <w:sz w:val="19"/>
                                <w:szCs w:val="19"/>
                              </w:rPr>
                              <w:t xml:space="preserve"> Pa and can be dissolved on demand by changing the ambient pH. Their pH and salt sensitivity can also be utilized to tune their adhesion strength and to develop injectable adhesive formulations (which can be dispensed as low-viscosity dispersions that form adhesive films in situ). Furthermore, the high crosslink densities within the adhesive PAH/PPi and PAH/TPP networks enable them to serve as vehicles for sustained release (which for small molecules extends over multiple months). These properties suggest that ionic crosslinking of polyelectrolytes provides a simple route to preparing multifunctional materials, capable of both stimulus-responsive wet adhesion an</w:t>
                            </w:r>
                            <w:r w:rsidR="005C524E" w:rsidRPr="005C524E">
                              <w:rPr>
                                <w:sz w:val="19"/>
                                <w:szCs w:val="19"/>
                              </w:rPr>
                              <w:t>d long-term controlled release.</w:t>
                            </w:r>
                          </w:p>
                          <w:p w:rsidR="00F45ACF" w:rsidRPr="00D84AF3" w:rsidRDefault="00F45ACF" w:rsidP="00AD51E3">
                            <w:pPr>
                              <w:spacing w:after="60" w:line="240" w:lineRule="auto"/>
                              <w:jc w:val="both"/>
                              <w:rPr>
                                <w:rFonts w:ascii="Calibri" w:eastAsia="Times New Roman" w:hAnsi="Calibri" w:cs="Calibri"/>
                                <w:b/>
                                <w:bCs/>
                                <w:color w:val="000000"/>
                                <w:sz w:val="12"/>
                                <w:szCs w:val="12"/>
                              </w:rPr>
                            </w:pPr>
                            <w:r w:rsidRPr="005C524E">
                              <w:rPr>
                                <w:rFonts w:ascii="Calibri" w:eastAsia="Times New Roman" w:hAnsi="Calibri" w:cs="Calibri"/>
                                <w:b/>
                                <w:bCs/>
                                <w:color w:val="000000"/>
                                <w:sz w:val="19"/>
                                <w:szCs w:val="19"/>
                              </w:rPr>
                              <w:t>Biography</w:t>
                            </w:r>
                          </w:p>
                          <w:p w:rsidR="005C524E" w:rsidRPr="005C524E" w:rsidRDefault="005C524E" w:rsidP="00AD51E3">
                            <w:pPr>
                              <w:spacing w:after="60" w:line="240" w:lineRule="auto"/>
                              <w:ind w:firstLine="720"/>
                              <w:jc w:val="both"/>
                              <w:rPr>
                                <w:sz w:val="19"/>
                                <w:szCs w:val="19"/>
                              </w:rPr>
                            </w:pPr>
                            <w:r w:rsidRPr="005C524E">
                              <w:rPr>
                                <w:sz w:val="19"/>
                                <w:szCs w:val="19"/>
                              </w:rPr>
                              <w:t xml:space="preserve">Yakov Lapitsky is an associate professor and graduate director in the Department of Chemical Engineering at the University of Toledo (UT). He received his B.S. and B.Ch.E. degrees in chemistry and chemical engineering at the University of Minnesota in 2001 and his Ph.D. in chemical engineering at the University of Delaware in 2006. Prior to joining the faculty at UT in 2009, he completed a postdoctoral fellowship in the biomaterials field at the University of Toronto. His present research focuses on the design, characterization and application of polyelectrolyte-based soft materials. His efforts in this area have been recognized with several awards, including the </w:t>
                            </w:r>
                            <w:r w:rsidRPr="005C524E">
                              <w:rPr>
                                <w:i/>
                                <w:sz w:val="19"/>
                                <w:szCs w:val="19"/>
                              </w:rPr>
                              <w:t>NSF CAREER Award</w:t>
                            </w:r>
                            <w:r w:rsidRPr="005C524E">
                              <w:rPr>
                                <w:sz w:val="19"/>
                                <w:szCs w:val="19"/>
                              </w:rPr>
                              <w:t xml:space="preserve">, </w:t>
                            </w:r>
                            <w:r w:rsidRPr="005C524E">
                              <w:rPr>
                                <w:i/>
                                <w:sz w:val="19"/>
                                <w:szCs w:val="19"/>
                              </w:rPr>
                              <w:t>Outstanding Faculty Researcher</w:t>
                            </w:r>
                            <w:r w:rsidRPr="005C524E">
                              <w:rPr>
                                <w:sz w:val="19"/>
                                <w:szCs w:val="19"/>
                              </w:rPr>
                              <w:t xml:space="preserve"> and </w:t>
                            </w:r>
                            <w:r w:rsidRPr="005C524E">
                              <w:rPr>
                                <w:i/>
                                <w:sz w:val="19"/>
                                <w:szCs w:val="19"/>
                              </w:rPr>
                              <w:t>Outstanding Undergraduate Mentor</w:t>
                            </w:r>
                            <w:r w:rsidRPr="005C524E">
                              <w:rPr>
                                <w:sz w:val="19"/>
                                <w:szCs w:val="19"/>
                              </w:rPr>
                              <w:t xml:space="preserve"> awards from UT’s College of Engineering, and the </w:t>
                            </w:r>
                            <w:r w:rsidRPr="005C524E">
                              <w:rPr>
                                <w:i/>
                                <w:sz w:val="19"/>
                                <w:szCs w:val="19"/>
                              </w:rPr>
                              <w:t xml:space="preserve">Eleni and Evangelos Theodosiou/Sigma Xi Young Investigator Award </w:t>
                            </w:r>
                            <w:r w:rsidRPr="005C524E">
                              <w:rPr>
                                <w:sz w:val="19"/>
                                <w:szCs w:val="19"/>
                              </w:rPr>
                              <w:t>from the UT Chapter of the Sigma Xi Scientific Research Society.</w:t>
                            </w:r>
                          </w:p>
                          <w:p w:rsidR="00F45ACF" w:rsidRPr="005C524E" w:rsidRDefault="00F45ACF" w:rsidP="00F45ACF">
                            <w:pPr>
                              <w:spacing w:line="240" w:lineRule="auto"/>
                              <w:rPr>
                                <w:sz w:val="20"/>
                              </w:rPr>
                            </w:pPr>
                          </w:p>
                          <w:p w:rsidR="00F45ACF" w:rsidRPr="005C524E" w:rsidRDefault="00F45ACF" w:rsidP="00F45ACF">
                            <w:pPr>
                              <w:spacing w:line="240" w:lineRule="auto"/>
                              <w:rPr>
                                <w:rFonts w:ascii="Times New Roman" w:hAnsi="Times New Roman"/>
                                <w:b/>
                                <w:sz w:val="18"/>
                                <w:szCs w:val="20"/>
                              </w:rPr>
                            </w:pPr>
                          </w:p>
                          <w:p w:rsidR="00F45ACF" w:rsidRPr="005C524E" w:rsidRDefault="00F45ACF" w:rsidP="00F45ACF">
                            <w:pPr>
                              <w:shd w:val="clear" w:color="auto" w:fill="FFFFFF"/>
                              <w:spacing w:after="0" w:line="240" w:lineRule="auto"/>
                              <w:jc w:val="both"/>
                              <w:rPr>
                                <w:rFonts w:ascii="Calibri" w:eastAsia="Times New Roman" w:hAnsi="Calibri" w:cs="Calibri"/>
                                <w:b/>
                                <w:bCs/>
                                <w:color w:val="000000"/>
                                <w:sz w:val="18"/>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8AB2321" id="_x0000_t202" coordsize="21600,21600" o:spt="202" path="m,l,21600r21600,l21600,xe">
                <v:stroke joinstyle="miter"/>
                <v:path gradientshapeok="t" o:connecttype="rect"/>
              </v:shapetype>
              <v:shape id="TextBox 3" o:spid="_x0000_s1027" type="#_x0000_t202" style="position:absolute;left:0;text-align:left;margin-left:86.25pt;margin-top:49.05pt;width:443.25pt;height:609.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" filled="f" stroked="f">
                <v:textbox>
                  <w:txbxContent>
                    <w:p w:rsidR="00F45ACF" w:rsidRPr="005C524E" w:rsidRDefault="00F45ACF" w:rsidP="00F45ACF">
                      <w:pPr>
                        <w:shd w:val="clear" w:color="auto" w:fill="FFFFFF"/>
                        <w:spacing w:after="0" w:line="240" w:lineRule="auto"/>
                        <w:jc w:val="both"/>
                        <w:rPr>
                          <w:rStyle w:val="Strong"/>
                          <w:rFonts w:ascii="Calibri" w:hAnsi="Calibri" w:cs="Calibri"/>
                          <w:color w:val="000000"/>
                          <w:sz w:val="19"/>
                          <w:szCs w:val="19"/>
                          <w:shd w:val="clear" w:color="auto" w:fill="FFFFFF"/>
                        </w:rPr>
                      </w:pPr>
                      <w:r w:rsidRPr="005C524E">
                        <w:rPr>
                          <w:rStyle w:val="Strong"/>
                          <w:rFonts w:ascii="Calibri" w:hAnsi="Calibri" w:cs="Calibri"/>
                          <w:color w:val="000000"/>
                          <w:sz w:val="19"/>
                          <w:szCs w:val="19"/>
                          <w:shd w:val="clear" w:color="auto" w:fill="FFFFFF"/>
                        </w:rPr>
                        <w:t>Abstract</w:t>
                      </w:r>
                    </w:p>
                    <w:p w:rsidR="00F45ACF" w:rsidRPr="005C524E" w:rsidRDefault="00F45ACF" w:rsidP="00AD51E3">
                      <w:pPr>
                        <w:spacing w:line="240" w:lineRule="auto"/>
                        <w:ind w:firstLine="720"/>
                        <w:jc w:val="both"/>
                        <w:rPr>
                          <w:sz w:val="19"/>
                          <w:szCs w:val="19"/>
                        </w:rPr>
                      </w:pPr>
                      <w:r w:rsidRPr="005C524E">
                        <w:rPr>
                          <w:sz w:val="19"/>
                          <w:szCs w:val="19"/>
                        </w:rPr>
                        <w:t xml:space="preserve">Polyelectrolytes are polymers that bear ionic groups on their repeat units, which enable their self-assembly into a wide array of soft materials and complex fluids. These supramolecular structures are ubiquitous in applications ranging from household products (e.g., personal care, cleaning and paint formulations), to pharmaceutics, to water treatment and emerging energy applications. Despite this widespread use, however, the performance of these structures is often limited by an incomplete understanding of the molecular and colloidal interactions that underlie their properties. To this end, the overarching goals of our research are to: (1) advance the mechanistic understanding of the parameters that control polyelectrolyte-based soft material properties; and (2) exploit this understanding to develop new technologies. This seminar will provide two examples of our efforts toward these goals.    </w:t>
                      </w:r>
                      <w:bookmarkStart w:id="1" w:name="_GoBack"/>
                      <w:bookmarkEnd w:id="1"/>
                    </w:p>
                    <w:p w:rsidR="00F45ACF" w:rsidRPr="00D84AF3" w:rsidRDefault="00F45ACF" w:rsidP="00AD51E3">
                      <w:pPr>
                        <w:spacing w:line="240" w:lineRule="auto"/>
                        <w:ind w:firstLine="720"/>
                        <w:jc w:val="both"/>
                        <w:rPr>
                          <w:sz w:val="12"/>
                          <w:szCs w:val="12"/>
                        </w:rPr>
                      </w:pPr>
                      <w:r w:rsidRPr="005C524E">
                        <w:rPr>
                          <w:sz w:val="19"/>
                          <w:szCs w:val="19"/>
                        </w:rPr>
                        <w:t>On the fundamental side, I will present some of our work on micro- and nanoparticles for drug delivery. Biobased micro- and nanogels ranging from tens of nanometers to microns in diameter can be prepared by ionically crosslinking chitosan with tripolyphosphate (TPP). These soft materials attract widespread interest as potential drug and gene carriers. Accordingly, numerous experiments have been performed to characterize the effects of process and formulation parameters on their size distributions, stability and payload uptake/release properties. Despite these efforts, however, the mechanism of their formation has for many years remained poorly understood. This lack of understanding stemmed (at least in part) from the very rapid kinetics of chitosan/TPP gelation, which made the micro- and nanogel formation process very difficult to study. To address this, we used stopped-flow and dynamic light scattering (DLS), isothermal titration calorimetry (ITC) and transmission electron microscopy (TEM) to dissect the mechanism of ionotropic chitosan/TPP gelation in the presence of monovalent salt (NaCl). This revealed the micro- and nanogel formation rates to be extremely sensitive to TPP and NaCl concentrations, and to scale approximately with [TPP]</w:t>
                      </w:r>
                      <w:r w:rsidRPr="005C524E">
                        <w:rPr>
                          <w:sz w:val="19"/>
                          <w:szCs w:val="19"/>
                          <w:vertAlign w:val="superscript"/>
                        </w:rPr>
                        <w:t>5</w:t>
                      </w:r>
                      <w:r w:rsidRPr="005C524E">
                        <w:rPr>
                          <w:sz w:val="19"/>
                          <w:szCs w:val="19"/>
                        </w:rPr>
                        <w:t xml:space="preserve"> and [NaCl]</w:t>
                      </w:r>
                      <w:r w:rsidRPr="005C524E">
                        <w:rPr>
                          <w:sz w:val="19"/>
                          <w:szCs w:val="19"/>
                          <w:vertAlign w:val="superscript"/>
                        </w:rPr>
                        <w:t>-5</w:t>
                      </w:r>
                      <w:r w:rsidRPr="005C524E">
                        <w:rPr>
                          <w:sz w:val="19"/>
                          <w:szCs w:val="19"/>
                        </w:rPr>
                        <w:t xml:space="preserve">. By slowing down their formation using high NaCl and low TPP concentrations, we were able to probe the temporal evolutions in micro- and nanogel structure by DLS and TEM. The ionotropic gelation was shown to occur in two stages: first, the formation of small primary nanoparticles (average diameter ~ 30 nm); then, their secondary aggregation into larger micro- and nanogels. Moreover, by slowing down the ionotropic gelation process, we were able to enhance colloidal stability during chitosan/TPP mixing, and produce particles with more-uniform size distributions. </w:t>
                      </w:r>
                    </w:p>
                    <w:p w:rsidR="00F45ACF" w:rsidRPr="005C524E" w:rsidRDefault="00F45ACF" w:rsidP="00AD51E3">
                      <w:pPr>
                        <w:spacing w:after="60" w:line="240" w:lineRule="auto"/>
                        <w:ind w:firstLine="720"/>
                        <w:jc w:val="both"/>
                        <w:rPr>
                          <w:sz w:val="19"/>
                          <w:szCs w:val="19"/>
                        </w:rPr>
                      </w:pPr>
                      <w:r w:rsidRPr="005C524E">
                        <w:rPr>
                          <w:sz w:val="19"/>
                          <w:szCs w:val="19"/>
                        </w:rPr>
                        <w:t>On the application side, I will also describe how, by crosslinking poly</w:t>
                      </w:r>
                      <w:r w:rsidR="00AD51E3">
                        <w:rPr>
                          <w:sz w:val="19"/>
                          <w:szCs w:val="19"/>
                        </w:rPr>
                        <w:t xml:space="preserve"> </w:t>
                      </w:r>
                      <w:r w:rsidRPr="005C524E">
                        <w:rPr>
                          <w:sz w:val="19"/>
                          <w:szCs w:val="19"/>
                        </w:rPr>
                        <w:t>(allylamine hydrochloride) (PAH) with either TPP or pyrophosphate (PPi), ionotropic gelation can produce gel-like coacervates that adhere to both hydrophilic and hydrophobic surfaces under water. These complexes can deliver short-term adhesion strengths above 10</w:t>
                      </w:r>
                      <w:r w:rsidRPr="005C524E">
                        <w:rPr>
                          <w:sz w:val="19"/>
                          <w:szCs w:val="19"/>
                          <w:vertAlign w:val="superscript"/>
                        </w:rPr>
                        <w:t>5</w:t>
                      </w:r>
                      <w:r w:rsidRPr="005C524E">
                        <w:rPr>
                          <w:sz w:val="19"/>
                          <w:szCs w:val="19"/>
                        </w:rPr>
                        <w:t xml:space="preserve"> Pa and can be dissolved on demand by changing the ambient pH. Their pH and salt sensitivity can also be utilized to tune their adhesion strength and to develop injectable adhesive formulations (which can be dispensed as low-viscosity dispersions that form adhesive films in situ). Furthermore, the high crosslink densities within the adhesive PAH/PPi and PAH/TPP networks enable them to serve as vehicles for sustained release (which for small molecules extends over multiple months). These properties suggest that ionic crosslinking of polyelectrolytes provides a simple route to preparing multifunctional materials, capable of both stimulus-responsive wet adhesion an</w:t>
                      </w:r>
                      <w:r w:rsidR="005C524E" w:rsidRPr="005C524E">
                        <w:rPr>
                          <w:sz w:val="19"/>
                          <w:szCs w:val="19"/>
                        </w:rPr>
                        <w:t>d long-term controlled release.</w:t>
                      </w:r>
                    </w:p>
                    <w:p w:rsidR="00F45ACF" w:rsidRPr="00D84AF3" w:rsidRDefault="00F45ACF" w:rsidP="00AD51E3">
                      <w:pPr>
                        <w:spacing w:after="60" w:line="240" w:lineRule="auto"/>
                        <w:jc w:val="both"/>
                        <w:rPr>
                          <w:rFonts w:ascii="Calibri" w:eastAsia="Times New Roman" w:hAnsi="Calibri" w:cs="Calibri"/>
                          <w:b/>
                          <w:bCs/>
                          <w:color w:val="000000"/>
                          <w:sz w:val="12"/>
                          <w:szCs w:val="12"/>
                        </w:rPr>
                      </w:pPr>
                      <w:r w:rsidRPr="005C524E">
                        <w:rPr>
                          <w:rFonts w:ascii="Calibri" w:eastAsia="Times New Roman" w:hAnsi="Calibri" w:cs="Calibri"/>
                          <w:b/>
                          <w:bCs/>
                          <w:color w:val="000000"/>
                          <w:sz w:val="19"/>
                          <w:szCs w:val="19"/>
                        </w:rPr>
                        <w:t>Biography</w:t>
                      </w:r>
                    </w:p>
                    <w:p w:rsidR="005C524E" w:rsidRPr="005C524E" w:rsidRDefault="005C524E" w:rsidP="00AD51E3">
                      <w:pPr>
                        <w:spacing w:after="60" w:line="240" w:lineRule="auto"/>
                        <w:ind w:firstLine="720"/>
                        <w:jc w:val="both"/>
                        <w:rPr>
                          <w:sz w:val="19"/>
                          <w:szCs w:val="19"/>
                        </w:rPr>
                      </w:pPr>
                      <w:r w:rsidRPr="005C524E">
                        <w:rPr>
                          <w:sz w:val="19"/>
                          <w:szCs w:val="19"/>
                        </w:rPr>
                        <w:t xml:space="preserve">Yakov Lapitsky is an associate professor and graduate director in the Department of Chemical Engineering at the University of Toledo (UT). He received his B.S. and B.Ch.E. degrees in chemistry and chemical engineering at the University of Minnesota in 2001 and his Ph.D. in chemical engineering at the University of Delaware in 2006. Prior to joining the faculty at UT in 2009, he completed a postdoctoral fellowship in the biomaterials field at the University of Toronto. His present research focuses on the design, characterization and application of polyelectrolyte-based soft materials. His efforts in this area have been recognized with several awards, including the </w:t>
                      </w:r>
                      <w:r w:rsidRPr="005C524E">
                        <w:rPr>
                          <w:i/>
                          <w:sz w:val="19"/>
                          <w:szCs w:val="19"/>
                        </w:rPr>
                        <w:t>NSF CAREER Award</w:t>
                      </w:r>
                      <w:r w:rsidRPr="005C524E">
                        <w:rPr>
                          <w:sz w:val="19"/>
                          <w:szCs w:val="19"/>
                        </w:rPr>
                        <w:t xml:space="preserve">, </w:t>
                      </w:r>
                      <w:r w:rsidRPr="005C524E">
                        <w:rPr>
                          <w:i/>
                          <w:sz w:val="19"/>
                          <w:szCs w:val="19"/>
                        </w:rPr>
                        <w:t>Outstanding Faculty Researcher</w:t>
                      </w:r>
                      <w:r w:rsidRPr="005C524E">
                        <w:rPr>
                          <w:sz w:val="19"/>
                          <w:szCs w:val="19"/>
                        </w:rPr>
                        <w:t xml:space="preserve"> and </w:t>
                      </w:r>
                      <w:r w:rsidRPr="005C524E">
                        <w:rPr>
                          <w:i/>
                          <w:sz w:val="19"/>
                          <w:szCs w:val="19"/>
                        </w:rPr>
                        <w:t>Outstanding Undergraduate Mentor</w:t>
                      </w:r>
                      <w:r w:rsidRPr="005C524E">
                        <w:rPr>
                          <w:sz w:val="19"/>
                          <w:szCs w:val="19"/>
                        </w:rPr>
                        <w:t xml:space="preserve"> awards from UT’s College of Engineering, and the </w:t>
                      </w:r>
                      <w:r w:rsidRPr="005C524E">
                        <w:rPr>
                          <w:i/>
                          <w:sz w:val="19"/>
                          <w:szCs w:val="19"/>
                        </w:rPr>
                        <w:t xml:space="preserve">Eleni and Evangelos Theodosiou/Sigma Xi Young Investigator Award </w:t>
                      </w:r>
                      <w:r w:rsidRPr="005C524E">
                        <w:rPr>
                          <w:sz w:val="19"/>
                          <w:szCs w:val="19"/>
                        </w:rPr>
                        <w:t>from the UT Chapter of the Sigma Xi Scientific Research Society.</w:t>
                      </w:r>
                    </w:p>
                    <w:p w:rsidR="00F45ACF" w:rsidRPr="005C524E" w:rsidRDefault="00F45ACF" w:rsidP="00F45ACF">
                      <w:pPr>
                        <w:spacing w:line="240" w:lineRule="auto"/>
                        <w:rPr>
                          <w:sz w:val="20"/>
                        </w:rPr>
                      </w:pPr>
                    </w:p>
                    <w:p w:rsidR="00F45ACF" w:rsidRPr="005C524E" w:rsidRDefault="00F45ACF" w:rsidP="00F45ACF">
                      <w:pPr>
                        <w:spacing w:line="240" w:lineRule="auto"/>
                        <w:rPr>
                          <w:rFonts w:ascii="Times New Roman" w:hAnsi="Times New Roman"/>
                          <w:b/>
                          <w:sz w:val="18"/>
                          <w:szCs w:val="20"/>
                        </w:rPr>
                      </w:pPr>
                    </w:p>
                    <w:p w:rsidR="00F45ACF" w:rsidRPr="005C524E" w:rsidRDefault="00F45ACF" w:rsidP="00F45ACF">
                      <w:pPr>
                        <w:shd w:val="clear" w:color="auto" w:fill="FFFFFF"/>
                        <w:spacing w:after="0" w:line="240" w:lineRule="auto"/>
                        <w:jc w:val="both"/>
                        <w:rPr>
                          <w:rFonts w:ascii="Calibri" w:eastAsia="Times New Roman" w:hAnsi="Calibri" w:cs="Calibri"/>
                          <w:b/>
                          <w:bCs/>
                          <w:color w:val="000000"/>
                          <w:sz w:val="18"/>
                          <w:szCs w:val="20"/>
                        </w:rPr>
                      </w:pPr>
                    </w:p>
                  </w:txbxContent>
                </v:textbox>
              </v:shape>
            </w:pict>
          </mc:Fallback>
        </mc:AlternateContent>
      </w:r>
      <w:r w:rsidR="00E7371E" w:rsidRPr="0064235B">
        <w:rPr>
          <w:noProof/>
        </w:rPr>
        <mc:AlternateContent>
          <mc:Choice Requires="wps">
            <w:drawing>
              <wp:anchor distT="0" distB="0" distL="114300" distR="114300" simplePos="0" relativeHeight="251657728" behindDoc="0" locked="0" layoutInCell="1" allowOverlap="1" wp14:anchorId="0BFEE713" wp14:editId="4CF36AF1">
                <wp:simplePos x="0" y="0"/>
                <wp:positionH relativeFrom="column">
                  <wp:posOffset>-774915</wp:posOffset>
                </wp:positionH>
                <wp:positionV relativeFrom="paragraph">
                  <wp:posOffset>4726649</wp:posOffset>
                </wp:positionV>
                <wp:extent cx="1750942" cy="2871578"/>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0942" cy="2871578"/>
                        </a:xfrm>
                        <a:prstGeom prst="rect">
                          <a:avLst/>
                        </a:prstGeom>
                      </wps:spPr>
                      <wps:txbx>
                        <w:txbxContent>
                          <w:p w:rsidR="00F45ACF" w:rsidRDefault="00F45ACF" w:rsidP="00E7371E">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 14, 2017</w:t>
                            </w:r>
                          </w:p>
                          <w:p w:rsidR="00F45ACF" w:rsidRDefault="00F45ACF" w:rsidP="00E7371E">
                            <w:pPr>
                              <w:pStyle w:val="NormalWeb"/>
                              <w:spacing w:before="0" w:beforeAutospacing="0" w:after="0" w:afterAutospacing="0"/>
                              <w:jc w:val="center"/>
                              <w:rPr>
                                <w:rFonts w:asciiTheme="minorHAnsi" w:hAnsi="Calibri" w:cstheme="minorBidi"/>
                                <w:color w:val="000000" w:themeColor="text1"/>
                                <w:kern w:val="24"/>
                                <w:sz w:val="36"/>
                                <w:szCs w:val="36"/>
                              </w:rPr>
                            </w:pPr>
                          </w:p>
                          <w:p w:rsidR="00F45ACF" w:rsidRDefault="00F45ACF" w:rsidP="00E7371E">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0BFEE713" id="Title 1" o:spid="_x0000_s1028" type="#_x0000_t202" style="position:absolute;left:0;text-align:left;margin-left:-61pt;margin-top:372.2pt;width:137.85pt;height:2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" filled="f" stroked="f">
                <v:path arrowok="t"/>
                <v:textbox>
                  <w:txbxContent>
                    <w:p w:rsidR="00F45ACF" w:rsidRDefault="00F45ACF" w:rsidP="00E7371E">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 14, 2017</w:t>
                      </w:r>
                    </w:p>
                    <w:p w:rsidR="00F45ACF" w:rsidRDefault="00F45ACF" w:rsidP="00E7371E">
                      <w:pPr>
                        <w:pStyle w:val="NormalWeb"/>
                        <w:spacing w:before="0" w:beforeAutospacing="0" w:after="0" w:afterAutospacing="0"/>
                        <w:jc w:val="center"/>
                        <w:rPr>
                          <w:rFonts w:asciiTheme="minorHAnsi" w:hAnsi="Calibri" w:cstheme="minorBidi"/>
                          <w:color w:val="000000" w:themeColor="text1"/>
                          <w:kern w:val="24"/>
                          <w:sz w:val="36"/>
                          <w:szCs w:val="36"/>
                        </w:rPr>
                      </w:pPr>
                    </w:p>
                    <w:p w:rsidR="00F45ACF" w:rsidRDefault="00F45ACF" w:rsidP="00E7371E">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E7371E" w:rsidRPr="0064235B">
        <w:rPr>
          <w:noProof/>
        </w:rPr>
        <mc:AlternateContent>
          <mc:Choice Requires="wps">
            <w:drawing>
              <wp:anchor distT="0" distB="0" distL="114300" distR="114300" simplePos="0" relativeHeight="251661824" behindDoc="0" locked="0" layoutInCell="1" allowOverlap="1" wp14:anchorId="390B5356" wp14:editId="0288E715">
                <wp:simplePos x="0" y="0"/>
                <wp:positionH relativeFrom="column">
                  <wp:posOffset>-774915</wp:posOffset>
                </wp:positionH>
                <wp:positionV relativeFrom="paragraph">
                  <wp:posOffset>2525890</wp:posOffset>
                </wp:positionV>
                <wp:extent cx="1743559" cy="2349801"/>
                <wp:effectExtent l="0" t="0" r="0" b="0"/>
                <wp:wrapNone/>
                <wp:docPr id="17" name="Rectangle 16"/>
                <wp:cNvGraphicFramePr/>
                <a:graphic xmlns:a="http://schemas.openxmlformats.org/drawingml/2006/main">
                  <a:graphicData uri="http://schemas.microsoft.com/office/word/2010/wordprocessingShape">
                    <wps:wsp>
                      <wps:cNvSpPr/>
                      <wps:spPr>
                        <a:xfrm>
                          <a:off x="0" y="0"/>
                          <a:ext cx="1743559" cy="2349801"/>
                        </a:xfrm>
                        <a:prstGeom prst="rect">
                          <a:avLst/>
                        </a:prstGeom>
                      </wps:spPr>
                      <wps:txbx>
                        <w:txbxContent>
                          <w:p w:rsidR="00450B46" w:rsidRDefault="00450B46"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45ACF" w:rsidRDefault="00F45ACF" w:rsidP="00E7371E">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45ACF" w:rsidRDefault="00F45ACF"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2017</w:t>
                            </w:r>
                          </w:p>
                          <w:p w:rsidR="00F45ACF" w:rsidRDefault="00F45ACF"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F45ACF" w:rsidRDefault="00F45ACF"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45ACF" w:rsidRDefault="00F45ACF" w:rsidP="00E7371E">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90B5356" id="Rectangle 16" o:spid="_x0000_s1029" style="position:absolute;left:0;text-align:left;margin-left:-61pt;margin-top:198.9pt;width:137.3pt;height: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" filled="f" stroked="f">
                <v:textbox>
                  <w:txbxContent>
                    <w:p w:rsidR="00450B46" w:rsidRDefault="00450B46"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45ACF" w:rsidRDefault="00F45ACF" w:rsidP="00E7371E">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F45ACF" w:rsidRDefault="00F45ACF"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2017</w:t>
                      </w:r>
                    </w:p>
                    <w:p w:rsidR="00F45ACF" w:rsidRDefault="00F45ACF"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F45ACF" w:rsidRDefault="00F45ACF" w:rsidP="00E7371E">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45ACF" w:rsidRDefault="00F45ACF" w:rsidP="00E7371E">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E7371E" w:rsidRPr="0064235B">
        <w:rPr>
          <w:noProof/>
        </w:rPr>
        <mc:AlternateContent>
          <mc:Choice Requires="wps">
            <w:drawing>
              <wp:anchor distT="0" distB="0" distL="114300" distR="114300" simplePos="0" relativeHeight="251652608" behindDoc="0" locked="0" layoutInCell="1" allowOverlap="1" wp14:anchorId="315A6B61" wp14:editId="74D63B2E">
                <wp:simplePos x="0" y="0"/>
                <wp:positionH relativeFrom="column">
                  <wp:posOffset>-782664</wp:posOffset>
                </wp:positionH>
                <wp:positionV relativeFrom="paragraph">
                  <wp:posOffset>2518141</wp:posOffset>
                </wp:positionV>
                <wp:extent cx="1750189" cy="5726656"/>
                <wp:effectExtent l="0" t="0" r="21590" b="26670"/>
                <wp:wrapNone/>
                <wp:docPr id="15" name="Rectangle 14"/>
                <wp:cNvGraphicFramePr/>
                <a:graphic xmlns:a="http://schemas.openxmlformats.org/drawingml/2006/main">
                  <a:graphicData uri="http://schemas.microsoft.com/office/word/2010/wordprocessingShape">
                    <wps:wsp>
                      <wps:cNvSpPr/>
                      <wps:spPr>
                        <a:xfrm>
                          <a:off x="0" y="0"/>
                          <a:ext cx="1750189" cy="5726656"/>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45ACF" w:rsidRDefault="00F45ACF"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5A6B61" id="Rectangle 14" o:spid="_x0000_s1030" style="position:absolute;left:0;text-align:left;margin-left:-61.65pt;margin-top:198.3pt;width:137.8pt;height:450.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" fillcolor="#65a0d7 [3028]" strokecolor="#5b9bd5 [3204]" strokeweight=".5pt">
                <v:fill color2="#5898d4 [3172]" rotate="t" colors="0 #71a6db;.5 #559bdb;1 #438ac9" focus="100%" type="gradient">
                  <o:fill v:ext="view" type="gradientUnscaled"/>
                </v:fill>
                <v:textbox>
                  <w:txbxContent>
                    <w:p w:rsidR="00F45ACF" w:rsidRDefault="00F45ACF" w:rsidP="00374683"/>
                  </w:txbxContent>
                </v:textbox>
              </v:rect>
            </w:pict>
          </mc:Fallback>
        </mc:AlternateContent>
      </w:r>
      <w:r w:rsidR="005C524E" w:rsidRPr="0064235B">
        <w:rPr>
          <w:noProof/>
        </w:rPr>
        <mc:AlternateContent>
          <mc:Choice Requires="wps">
            <w:drawing>
              <wp:anchor distT="0" distB="0" distL="114300" distR="114300" simplePos="0" relativeHeight="251660288" behindDoc="0" locked="0" layoutInCell="1" allowOverlap="1" wp14:anchorId="59A956D6" wp14:editId="507524A3">
                <wp:simplePos x="0" y="0"/>
                <wp:positionH relativeFrom="column">
                  <wp:posOffset>1228299</wp:posOffset>
                </wp:positionH>
                <wp:positionV relativeFrom="paragraph">
                  <wp:posOffset>2415436</wp:posOffset>
                </wp:positionV>
                <wp:extent cx="5691116"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691116" cy="6471920"/>
                        </a:xfrm>
                        <a:prstGeom prst="rect">
                          <a:avLst/>
                        </a:prstGeom>
                      </wps:spPr>
                      <wps:txbx>
                        <w:txbxContent>
                          <w:p w:rsidR="00F45ACF" w:rsidRDefault="00F45ACF"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59A956D6" id="Content Placeholder 2" o:spid="_x0000_s1031" style="position:absolute;left:0;text-align:left;margin-left:96.7pt;margin-top:190.2pt;width:448.1pt;height:509.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" filled="f" stroked="f">
                <v:path arrowok="t"/>
                <o:lock v:ext="edit" grouping="t"/>
                <v:textbox>
                  <w:txbxContent>
                    <w:p w:rsidR="00F45ACF" w:rsidRDefault="00F45ACF"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71838" w:rsidRPr="0064235B">
        <w:rPr>
          <w:noProof/>
        </w:rPr>
        <w:t xml:space="preserve"> </w: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51E87056"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662ED"/>
    <w:rsid w:val="00374683"/>
    <w:rsid w:val="003B0F61"/>
    <w:rsid w:val="00450B46"/>
    <w:rsid w:val="004C6B31"/>
    <w:rsid w:val="005A2585"/>
    <w:rsid w:val="005C524E"/>
    <w:rsid w:val="00620BAD"/>
    <w:rsid w:val="00624059"/>
    <w:rsid w:val="0064235B"/>
    <w:rsid w:val="00671838"/>
    <w:rsid w:val="006764B3"/>
    <w:rsid w:val="006977A9"/>
    <w:rsid w:val="006A4C17"/>
    <w:rsid w:val="006B1905"/>
    <w:rsid w:val="00774432"/>
    <w:rsid w:val="007E60D7"/>
    <w:rsid w:val="007F0BD4"/>
    <w:rsid w:val="00805F04"/>
    <w:rsid w:val="00951902"/>
    <w:rsid w:val="00981478"/>
    <w:rsid w:val="00A2268B"/>
    <w:rsid w:val="00AD51E3"/>
    <w:rsid w:val="00B35BAF"/>
    <w:rsid w:val="00B66855"/>
    <w:rsid w:val="00BE1724"/>
    <w:rsid w:val="00D13351"/>
    <w:rsid w:val="00D300F8"/>
    <w:rsid w:val="00D84AF3"/>
    <w:rsid w:val="00D971BB"/>
    <w:rsid w:val="00E7371E"/>
    <w:rsid w:val="00F45ACF"/>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7720"/>
  <w15:docId w15:val="{1E121B22-A9FC-413D-BD6D-6226C1F9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8488">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551066814">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43394-E044-47EA-9FC8-0D4BCB34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D0471CF7</Template>
  <TotalTime>5</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4</cp:revision>
  <cp:lastPrinted>2017-04-04T20:13:00Z</cp:lastPrinted>
  <dcterms:created xsi:type="dcterms:W3CDTF">2017-03-01T21:30:00Z</dcterms:created>
  <dcterms:modified xsi:type="dcterms:W3CDTF">2017-04-04T20:13:00Z</dcterms:modified>
</cp:coreProperties>
</file>