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60E" w:rsidRPr="003B4B19" w:rsidRDefault="0008460E" w:rsidP="00CC1A32">
      <w:pPr>
        <w:tabs>
          <w:tab w:val="left" w:pos="8370"/>
        </w:tabs>
        <w:jc w:val="center"/>
        <w:rPr>
          <w:b/>
        </w:rPr>
      </w:pPr>
      <w:r w:rsidRPr="003B4B19">
        <w:rPr>
          <w:b/>
        </w:rPr>
        <w:t>MATERIALS ENGINEERING</w:t>
      </w:r>
    </w:p>
    <w:p w:rsidR="0008460E" w:rsidRPr="003B4B19" w:rsidRDefault="0008460E" w:rsidP="00CC1A32">
      <w:pPr>
        <w:pStyle w:val="Heading5"/>
        <w:spacing w:line="240" w:lineRule="auto"/>
        <w:rPr>
          <w:sz w:val="24"/>
        </w:rPr>
      </w:pPr>
      <w:r w:rsidRPr="003B4B19">
        <w:rPr>
          <w:sz w:val="24"/>
        </w:rPr>
        <w:t>SEMINAR</w:t>
      </w:r>
    </w:p>
    <w:p w:rsidR="00CC1A32" w:rsidRDefault="0008460E" w:rsidP="00CC1A32">
      <w:pPr>
        <w:pStyle w:val="NormalWeb"/>
        <w:jc w:val="center"/>
        <w:rPr>
          <w:b/>
        </w:rPr>
      </w:pPr>
      <w:r w:rsidRPr="003B4B19">
        <w:rPr>
          <w:b/>
        </w:rPr>
        <w:t>“</w:t>
      </w:r>
      <w:r w:rsidR="00CC1A32" w:rsidRPr="00CC1A32">
        <w:rPr>
          <w:rFonts w:ascii="Arial" w:hAnsi="Arial" w:cs="Arial"/>
          <w:b/>
          <w:color w:val="333333"/>
          <w:sz w:val="23"/>
          <w:szCs w:val="23"/>
          <w:shd w:val="clear" w:color="auto" w:fill="FFFFFF"/>
        </w:rPr>
        <w:t>Phase Transformations in Multicomponent Systems for Solder Joint Reliability</w:t>
      </w:r>
      <w:r w:rsidRPr="003B4B19">
        <w:rPr>
          <w:b/>
        </w:rPr>
        <w:t>”</w:t>
      </w:r>
    </w:p>
    <w:p w:rsidR="0008460E" w:rsidRPr="00CC1A32" w:rsidRDefault="0008460E" w:rsidP="00CC1A32">
      <w:pPr>
        <w:pStyle w:val="NormalWeb"/>
        <w:jc w:val="center"/>
        <w:rPr>
          <w:b/>
        </w:rPr>
      </w:pPr>
      <w:r w:rsidRPr="003B4B19">
        <w:rPr>
          <w:b/>
          <w:bCs/>
        </w:rPr>
        <w:t>By</w:t>
      </w:r>
      <w:r w:rsidR="00CC1A32">
        <w:rPr>
          <w:b/>
          <w:bCs/>
        </w:rPr>
        <w:t xml:space="preserve"> Alyssa Yaeger</w:t>
      </w:r>
      <w:bookmarkStart w:id="0" w:name="_GoBack"/>
      <w:bookmarkEnd w:id="0"/>
    </w:p>
    <w:p w:rsidR="0008460E" w:rsidRPr="003B4B19" w:rsidRDefault="0008460E" w:rsidP="00CC1A32">
      <w:pPr>
        <w:tabs>
          <w:tab w:val="left" w:pos="900"/>
        </w:tabs>
        <w:jc w:val="center"/>
        <w:rPr>
          <w:b/>
        </w:rPr>
      </w:pPr>
      <w:r w:rsidRPr="003B4B19">
        <w:rPr>
          <w:b/>
        </w:rPr>
        <w:t xml:space="preserve">Purdue MSE </w:t>
      </w:r>
      <w:r w:rsidR="00BD4727">
        <w:rPr>
          <w:b/>
        </w:rPr>
        <w:t xml:space="preserve">Ph.D. </w:t>
      </w:r>
      <w:r w:rsidR="004B7673">
        <w:rPr>
          <w:b/>
        </w:rPr>
        <w:t xml:space="preserve">Final </w:t>
      </w:r>
      <w:r w:rsidRPr="003B4B19">
        <w:rPr>
          <w:b/>
        </w:rPr>
        <w:t>Exam</w:t>
      </w:r>
    </w:p>
    <w:p w:rsidR="0008460E" w:rsidRPr="003B4B19" w:rsidRDefault="0008460E" w:rsidP="00CC1A32">
      <w:pPr>
        <w:tabs>
          <w:tab w:val="left" w:pos="900"/>
        </w:tabs>
        <w:jc w:val="center"/>
        <w:rPr>
          <w:b/>
        </w:rPr>
      </w:pPr>
    </w:p>
    <w:p w:rsidR="0008460E" w:rsidRPr="003B4B19" w:rsidRDefault="0008460E" w:rsidP="00CC1A32">
      <w:pPr>
        <w:tabs>
          <w:tab w:val="left" w:pos="900"/>
        </w:tabs>
        <w:jc w:val="center"/>
        <w:rPr>
          <w:b/>
        </w:rPr>
      </w:pPr>
      <w:r w:rsidRPr="003B4B19">
        <w:rPr>
          <w:b/>
        </w:rPr>
        <w:t>Advisor</w:t>
      </w:r>
      <w:r w:rsidR="004B7673">
        <w:rPr>
          <w:b/>
        </w:rPr>
        <w:t>s</w:t>
      </w:r>
      <w:r w:rsidRPr="003B4B19">
        <w:rPr>
          <w:b/>
        </w:rPr>
        <w:t xml:space="preserve">: Professor </w:t>
      </w:r>
      <w:r w:rsidR="00CC1A32">
        <w:rPr>
          <w:b/>
        </w:rPr>
        <w:t xml:space="preserve">Carol Handwerker </w:t>
      </w:r>
      <w:r w:rsidR="004B7673">
        <w:rPr>
          <w:b/>
        </w:rPr>
        <w:t xml:space="preserve">and Professor </w:t>
      </w:r>
      <w:r w:rsidR="00CC1A32">
        <w:rPr>
          <w:b/>
        </w:rPr>
        <w:t xml:space="preserve">John </w:t>
      </w:r>
      <w:proofErr w:type="spellStart"/>
      <w:r w:rsidR="00CC1A32">
        <w:rPr>
          <w:b/>
        </w:rPr>
        <w:t>Blendell</w:t>
      </w:r>
      <w:proofErr w:type="spellEnd"/>
    </w:p>
    <w:p w:rsidR="0008460E" w:rsidRPr="003B4B19" w:rsidRDefault="0008460E" w:rsidP="00CC1A32">
      <w:pPr>
        <w:tabs>
          <w:tab w:val="left" w:pos="900"/>
        </w:tabs>
        <w:rPr>
          <w:b/>
        </w:rPr>
      </w:pPr>
    </w:p>
    <w:p w:rsidR="0008460E" w:rsidRPr="004A1C3C" w:rsidRDefault="0008460E" w:rsidP="00CC1A32">
      <w:pPr>
        <w:jc w:val="center"/>
        <w:rPr>
          <w:b/>
          <w:sz w:val="22"/>
          <w:szCs w:val="22"/>
        </w:rPr>
      </w:pPr>
      <w:r w:rsidRPr="004A1C3C">
        <w:rPr>
          <w:b/>
          <w:sz w:val="22"/>
          <w:szCs w:val="22"/>
        </w:rPr>
        <w:t>ABSTRACT</w:t>
      </w:r>
    </w:p>
    <w:p w:rsidR="00CC1A32" w:rsidRPr="00CC1A32" w:rsidRDefault="00CC1A32" w:rsidP="00CC1A32">
      <w:pPr>
        <w:spacing w:after="160"/>
        <w:rPr>
          <w:color w:val="000000"/>
          <w:sz w:val="22"/>
          <w:szCs w:val="22"/>
        </w:rPr>
      </w:pPr>
      <w:r w:rsidRPr="00CC1A32">
        <w:rPr>
          <w:color w:val="000000"/>
        </w:rPr>
        <w:t>Solder joints serve as the physical and electrical connection between surface mounted components and circuit boards, and are expected to maintain that connection under stress. Shear stresses due to coefficient of thermal expansion (CTE) mismatch between component and circuit board are common during use, and can lead to fracture of the solder joint. The cracks begin near the solder-substrate interface and propagate through the joint, either through the bulk of the solder or along the interfaces of brittle phases. Therefore, the morphology of the interfacial intermetallic compounds (IMCs) can influence the crack path and whether the failure is ductile or brittle, and thus will determine the lifetime and reliability of the solder joint.  </w:t>
      </w:r>
    </w:p>
    <w:p w:rsidR="00CC1A32" w:rsidRPr="00CC1A32" w:rsidRDefault="00CC1A32" w:rsidP="00CC1A32">
      <w:pPr>
        <w:spacing w:after="160"/>
        <w:rPr>
          <w:color w:val="000000"/>
        </w:rPr>
      </w:pPr>
      <w:r w:rsidRPr="00CC1A32">
        <w:rPr>
          <w:color w:val="000000"/>
        </w:rPr>
        <w:t>Gold embrittlement has been a soldering issue for decades, although it is a broad category which indicates brittle failure due to the presence of gold, typically forming AuSn</w:t>
      </w:r>
      <w:r w:rsidRPr="00CC1A32">
        <w:rPr>
          <w:color w:val="000000"/>
          <w:vertAlign w:val="subscript"/>
        </w:rPr>
        <w:t>4</w:t>
      </w:r>
      <w:r w:rsidRPr="00CC1A32">
        <w:rPr>
          <w:color w:val="000000"/>
        </w:rPr>
        <w:t>. Mitigation of this has included the reduction of Au in the solder joint and the introduction of Cu to destabilize AuSn</w:t>
      </w:r>
      <w:r w:rsidRPr="00CC1A32">
        <w:rPr>
          <w:color w:val="000000"/>
          <w:vertAlign w:val="subscript"/>
        </w:rPr>
        <w:t>4</w:t>
      </w:r>
      <w:r w:rsidRPr="00CC1A32">
        <w:rPr>
          <w:color w:val="000000"/>
        </w:rPr>
        <w:t xml:space="preserve">-type </w:t>
      </w:r>
      <w:proofErr w:type="spellStart"/>
      <w:r w:rsidRPr="00CC1A32">
        <w:rPr>
          <w:color w:val="000000"/>
        </w:rPr>
        <w:t>intermetallics</w:t>
      </w:r>
      <w:proofErr w:type="spellEnd"/>
      <w:r w:rsidRPr="00CC1A32">
        <w:rPr>
          <w:color w:val="000000"/>
        </w:rPr>
        <w:t xml:space="preserve"> with the formation of (</w:t>
      </w:r>
      <w:proofErr w:type="spellStart"/>
      <w:proofErr w:type="gramStart"/>
      <w:r w:rsidRPr="00CC1A32">
        <w:rPr>
          <w:color w:val="000000"/>
        </w:rPr>
        <w:t>Cu,Ni</w:t>
      </w:r>
      <w:proofErr w:type="gramEnd"/>
      <w:r w:rsidRPr="00CC1A32">
        <w:rPr>
          <w:color w:val="000000"/>
        </w:rPr>
        <w:t>,Au</w:t>
      </w:r>
      <w:proofErr w:type="spellEnd"/>
      <w:r w:rsidRPr="00CC1A32">
        <w:rPr>
          <w:color w:val="000000"/>
        </w:rPr>
        <w:t>)</w:t>
      </w:r>
      <w:r w:rsidRPr="00CC1A32">
        <w:rPr>
          <w:color w:val="000000"/>
          <w:vertAlign w:val="subscript"/>
        </w:rPr>
        <w:t>6</w:t>
      </w:r>
      <w:r w:rsidRPr="00CC1A32">
        <w:rPr>
          <w:color w:val="000000"/>
        </w:rPr>
        <w:t>Sn</w:t>
      </w:r>
      <w:r w:rsidRPr="00CC1A32">
        <w:rPr>
          <w:color w:val="000000"/>
          <w:vertAlign w:val="subscript"/>
        </w:rPr>
        <w:t>5</w:t>
      </w:r>
      <w:r w:rsidRPr="00CC1A32">
        <w:rPr>
          <w:color w:val="000000"/>
        </w:rPr>
        <w:t>. A limit of 3wt% Au per solder joint attempted to mitigate this issue, but the methods of gold removal are not precise, and 3% is not a hard limit below which gold embrittlement does not occur. Nickel is able to substitute for Au in AuSn</w:t>
      </w:r>
      <w:r w:rsidRPr="00CC1A32">
        <w:rPr>
          <w:color w:val="000000"/>
          <w:vertAlign w:val="subscript"/>
        </w:rPr>
        <w:t>4</w:t>
      </w:r>
      <w:r w:rsidRPr="00CC1A32">
        <w:rPr>
          <w:color w:val="000000"/>
        </w:rPr>
        <w:t>, forming (</w:t>
      </w:r>
      <w:proofErr w:type="spellStart"/>
      <w:proofErr w:type="gramStart"/>
      <w:r w:rsidRPr="00CC1A32">
        <w:rPr>
          <w:color w:val="000000"/>
        </w:rPr>
        <w:t>Au,Ni</w:t>
      </w:r>
      <w:proofErr w:type="spellEnd"/>
      <w:proofErr w:type="gramEnd"/>
      <w:r w:rsidRPr="00CC1A32">
        <w:rPr>
          <w:color w:val="000000"/>
        </w:rPr>
        <w:t>)Sn</w:t>
      </w:r>
      <w:r w:rsidRPr="00CC1A32">
        <w:rPr>
          <w:color w:val="000000"/>
          <w:vertAlign w:val="subscript"/>
        </w:rPr>
        <w:t>4</w:t>
      </w:r>
      <w:r w:rsidRPr="00CC1A32">
        <w:rPr>
          <w:color w:val="000000"/>
        </w:rPr>
        <w:t xml:space="preserve"> in higher volumes at lower gold concentrations, making the establishment of a limit for Au in the joint more difficult.  </w:t>
      </w:r>
    </w:p>
    <w:p w:rsidR="00CC1A32" w:rsidRPr="00CC1A32" w:rsidRDefault="00CC1A32" w:rsidP="00CC1A32">
      <w:pPr>
        <w:spacing w:after="160"/>
        <w:rPr>
          <w:color w:val="000000"/>
        </w:rPr>
      </w:pPr>
      <w:r w:rsidRPr="00CC1A32">
        <w:rPr>
          <w:color w:val="000000"/>
        </w:rPr>
        <w:t xml:space="preserve">Two methods of establishing these limits are presented in this thesis: isothermal annealing, and thermal cycling. Microstructures evolve over time, even during periods of storage prior to use. Isothermal annealing above storage temperature and below the solidus promotes faster diffusion than seen in practice, due to the temperature dependence of </w:t>
      </w:r>
      <w:proofErr w:type="gramStart"/>
      <w:r w:rsidRPr="00CC1A32">
        <w:rPr>
          <w:color w:val="000000"/>
        </w:rPr>
        <w:t>solid state</w:t>
      </w:r>
      <w:proofErr w:type="gramEnd"/>
      <w:r w:rsidRPr="00CC1A32">
        <w:rPr>
          <w:color w:val="000000"/>
        </w:rPr>
        <w:t xml:space="preserve"> diffusion. This is also known as accelerated aging, as the time and temperature during annealing can be correlated to a different time and temperature during storage. Isothermal annealing allows potential issues, such as gold embrittlement, to be identified more quickly and prior to production, and can give an estimate of product lifetime. For Au-containing solder, Au from the bulk diffuses to the Ni interface to form (</w:t>
      </w:r>
      <w:proofErr w:type="spellStart"/>
      <w:proofErr w:type="gramStart"/>
      <w:r w:rsidRPr="00CC1A32">
        <w:rPr>
          <w:color w:val="000000"/>
        </w:rPr>
        <w:t>Au,Ni</w:t>
      </w:r>
      <w:proofErr w:type="spellEnd"/>
      <w:proofErr w:type="gramEnd"/>
      <w:r w:rsidRPr="00CC1A32">
        <w:rPr>
          <w:color w:val="000000"/>
        </w:rPr>
        <w:t>)Sn</w:t>
      </w:r>
      <w:r w:rsidRPr="00CC1A32">
        <w:rPr>
          <w:color w:val="000000"/>
          <w:vertAlign w:val="subscript"/>
        </w:rPr>
        <w:t>4</w:t>
      </w:r>
      <w:r w:rsidRPr="00CC1A32">
        <w:rPr>
          <w:color w:val="000000"/>
        </w:rPr>
        <w:t xml:space="preserve"> during annealing, which causes brittle failure when it forms a thick, continuous layer. Thermal cycling is another method of accelerated testing which can determine the limits of gold embrittlement. Solder joints undergo thermal cycling during product use, and this method increases the cycle frequency to induce earlier failure. This failure is determined by an increase in electrical resistance across solder joints. Failed solder joints can then be cross sectioned to examine the microstructure and crack path to determine cause of failure. Leadless ceramic chip carriers are stiff components with a low standoff height which tends to concentrate thermal expansion mismatch induced stresses in the solder and have thick Au coating, which together make them a good candidate for studies of gold embrittlement. In this thesis, it was determined that these solder joints failed in a ductile manner, determined more by the component characteristics and not as a result of gold embrittlement. </w:t>
      </w:r>
    </w:p>
    <w:p w:rsidR="0014775B" w:rsidRPr="00CC1A32" w:rsidRDefault="00CC1A32" w:rsidP="00CC1A32">
      <w:pPr>
        <w:rPr>
          <w:b/>
          <w:sz w:val="28"/>
        </w:rPr>
      </w:pPr>
      <w:r w:rsidRPr="00CC1A32">
        <w:rPr>
          <w:color w:val="000000"/>
        </w:rPr>
        <w:lastRenderedPageBreak/>
        <w:t>A potential mitigation method for gold embrittlement in eutectic Sn-Pb solder joints is also presented in this thesis. Because one cause of gold embrittlement includes the thick, continuous layer of (</w:t>
      </w:r>
      <w:proofErr w:type="spellStart"/>
      <w:proofErr w:type="gramStart"/>
      <w:r w:rsidRPr="00CC1A32">
        <w:rPr>
          <w:color w:val="000000"/>
        </w:rPr>
        <w:t>Au,Ni</w:t>
      </w:r>
      <w:proofErr w:type="spellEnd"/>
      <w:proofErr w:type="gramEnd"/>
      <w:r w:rsidRPr="00CC1A32">
        <w:rPr>
          <w:color w:val="000000"/>
        </w:rPr>
        <w:t>)Sn</w:t>
      </w:r>
      <w:r w:rsidRPr="00CC1A32">
        <w:rPr>
          <w:color w:val="000000"/>
          <w:vertAlign w:val="subscript"/>
        </w:rPr>
        <w:t>4</w:t>
      </w:r>
      <w:r w:rsidRPr="00CC1A32">
        <w:rPr>
          <w:color w:val="000000"/>
        </w:rPr>
        <w:t>,it has been proposed that breakup of this layer can increase ductility and solder joint lifetime. This can be accomplished with a secondary reflow, or melting, of the solder, using the high solubility of Au in molten solder to destabilize the (</w:t>
      </w:r>
      <w:proofErr w:type="spellStart"/>
      <w:proofErr w:type="gramStart"/>
      <w:r w:rsidRPr="00CC1A32">
        <w:rPr>
          <w:color w:val="000000"/>
        </w:rPr>
        <w:t>Au,Ni</w:t>
      </w:r>
      <w:proofErr w:type="spellEnd"/>
      <w:proofErr w:type="gramEnd"/>
      <w:r w:rsidRPr="00CC1A32">
        <w:rPr>
          <w:color w:val="000000"/>
        </w:rPr>
        <w:t>)Sn</w:t>
      </w:r>
      <w:r w:rsidRPr="00CC1A32">
        <w:rPr>
          <w:color w:val="000000"/>
          <w:vertAlign w:val="subscript"/>
        </w:rPr>
        <w:t>4</w:t>
      </w:r>
      <w:r w:rsidRPr="00CC1A32">
        <w:rPr>
          <w:color w:val="000000"/>
        </w:rPr>
        <w:t xml:space="preserve"> and return the solder joint to a more ductile microstructure. The thermodynamics of and mechanisms leading to the destabilization of (</w:t>
      </w:r>
      <w:proofErr w:type="spellStart"/>
      <w:proofErr w:type="gramStart"/>
      <w:r w:rsidRPr="00CC1A32">
        <w:rPr>
          <w:color w:val="000000"/>
        </w:rPr>
        <w:t>Au,Ni</w:t>
      </w:r>
      <w:proofErr w:type="spellEnd"/>
      <w:proofErr w:type="gramEnd"/>
      <w:r w:rsidRPr="00CC1A32">
        <w:rPr>
          <w:color w:val="000000"/>
        </w:rPr>
        <w:t>)Sn</w:t>
      </w:r>
      <w:r w:rsidRPr="00CC1A32">
        <w:rPr>
          <w:color w:val="000000"/>
          <w:vertAlign w:val="subscript"/>
        </w:rPr>
        <w:t>4</w:t>
      </w:r>
      <w:r w:rsidRPr="00CC1A32">
        <w:rPr>
          <w:color w:val="000000"/>
        </w:rPr>
        <w:t xml:space="preserve"> are quantified as a function of Au concentration in the solder.  The relationship between the solder compositions and microstructure, including interfacial </w:t>
      </w:r>
      <w:proofErr w:type="spellStart"/>
      <w:r w:rsidRPr="00CC1A32">
        <w:rPr>
          <w:color w:val="000000"/>
        </w:rPr>
        <w:t>intermetallics</w:t>
      </w:r>
      <w:proofErr w:type="spellEnd"/>
      <w:r w:rsidRPr="00CC1A32">
        <w:rPr>
          <w:color w:val="000000"/>
        </w:rPr>
        <w:t>, and the fracture behavior of the resulting joints provides insight into the appropriate limits of Au in Sn-Pb solder joints to reduce Au embrittlement.</w:t>
      </w:r>
    </w:p>
    <w:p w:rsidR="0014775B" w:rsidRPr="004B7673" w:rsidRDefault="004B7673" w:rsidP="004A1C3C">
      <w:pPr>
        <w:spacing w:line="276" w:lineRule="auto"/>
        <w:jc w:val="both"/>
        <w:rPr>
          <w:color w:val="000000"/>
          <w:sz w:val="22"/>
          <w:szCs w:val="22"/>
        </w:rPr>
      </w:pPr>
      <w:r w:rsidRPr="004B7673">
        <w:rPr>
          <w:rFonts w:eastAsia="Malgun Gothic"/>
          <w:color w:val="000000"/>
          <w:sz w:val="22"/>
          <w:szCs w:val="22"/>
          <w:lang w:eastAsia="ko-KR"/>
        </w:rPr>
        <w:t>.</w:t>
      </w:r>
    </w:p>
    <w:p w:rsidR="004A1C3C" w:rsidRDefault="004A1C3C" w:rsidP="0014775B">
      <w:pPr>
        <w:pStyle w:val="p1"/>
        <w:jc w:val="both"/>
        <w:rPr>
          <w:rFonts w:ascii="Times New Roman" w:hAnsi="Times New Roman"/>
          <w:color w:val="000000"/>
          <w:sz w:val="24"/>
          <w:szCs w:val="24"/>
          <w:lang w:eastAsia="en-US"/>
        </w:rPr>
      </w:pPr>
    </w:p>
    <w:p w:rsidR="004B7673" w:rsidRDefault="004B7673" w:rsidP="0014775B">
      <w:pPr>
        <w:pStyle w:val="p1"/>
        <w:jc w:val="both"/>
        <w:rPr>
          <w:b/>
          <w:sz w:val="22"/>
          <w:szCs w:val="22"/>
        </w:rPr>
      </w:pPr>
    </w:p>
    <w:p w:rsidR="004B7673" w:rsidRDefault="004B7673" w:rsidP="0014775B">
      <w:pPr>
        <w:pStyle w:val="p1"/>
        <w:jc w:val="both"/>
        <w:rPr>
          <w:b/>
          <w:sz w:val="22"/>
          <w:szCs w:val="22"/>
        </w:rPr>
      </w:pPr>
    </w:p>
    <w:p w:rsidR="0014775B" w:rsidRDefault="0008460E" w:rsidP="0014775B">
      <w:pPr>
        <w:pStyle w:val="p1"/>
        <w:jc w:val="both"/>
        <w:rPr>
          <w:b/>
          <w:sz w:val="22"/>
          <w:szCs w:val="22"/>
        </w:rPr>
      </w:pPr>
      <w:r w:rsidRPr="004A0497">
        <w:rPr>
          <w:b/>
          <w:sz w:val="22"/>
          <w:szCs w:val="22"/>
        </w:rPr>
        <w:t xml:space="preserve">Date: </w:t>
      </w:r>
      <w:r w:rsidR="004B7673">
        <w:rPr>
          <w:b/>
          <w:sz w:val="22"/>
          <w:szCs w:val="22"/>
        </w:rPr>
        <w:t>Monday</w:t>
      </w:r>
      <w:r w:rsidRPr="004A0497">
        <w:rPr>
          <w:b/>
          <w:sz w:val="22"/>
          <w:szCs w:val="22"/>
        </w:rPr>
        <w:t xml:space="preserve">, </w:t>
      </w:r>
      <w:r w:rsidR="00CC1A32">
        <w:rPr>
          <w:b/>
          <w:sz w:val="22"/>
          <w:szCs w:val="22"/>
        </w:rPr>
        <w:t>November</w:t>
      </w:r>
      <w:r w:rsidR="004B7673">
        <w:rPr>
          <w:b/>
          <w:sz w:val="22"/>
          <w:szCs w:val="22"/>
        </w:rPr>
        <w:t xml:space="preserve"> </w:t>
      </w:r>
      <w:r w:rsidR="00CC1A32">
        <w:rPr>
          <w:b/>
          <w:sz w:val="22"/>
          <w:szCs w:val="22"/>
        </w:rPr>
        <w:t>22</w:t>
      </w:r>
      <w:r w:rsidRPr="004A0497">
        <w:rPr>
          <w:b/>
          <w:sz w:val="22"/>
          <w:szCs w:val="22"/>
        </w:rPr>
        <w:t>, 20</w:t>
      </w:r>
      <w:r w:rsidR="00CC1A32">
        <w:rPr>
          <w:b/>
          <w:sz w:val="22"/>
          <w:szCs w:val="22"/>
        </w:rPr>
        <w:t>21</w:t>
      </w:r>
    </w:p>
    <w:p w:rsidR="0008460E" w:rsidRPr="0014775B" w:rsidRDefault="0008460E" w:rsidP="0014775B">
      <w:pPr>
        <w:pStyle w:val="p1"/>
        <w:jc w:val="both"/>
        <w:rPr>
          <w:rFonts w:ascii="Times New Roman" w:hAnsi="Times New Roman"/>
          <w:sz w:val="24"/>
          <w:szCs w:val="24"/>
        </w:rPr>
      </w:pPr>
      <w:r w:rsidRPr="004A0497">
        <w:rPr>
          <w:b/>
          <w:sz w:val="22"/>
          <w:szCs w:val="22"/>
        </w:rPr>
        <w:t>T</w:t>
      </w:r>
      <w:r>
        <w:rPr>
          <w:b/>
          <w:sz w:val="22"/>
          <w:szCs w:val="22"/>
        </w:rPr>
        <w:t xml:space="preserve">ime: </w:t>
      </w:r>
      <w:r w:rsidR="00CC1A32">
        <w:rPr>
          <w:b/>
          <w:sz w:val="22"/>
          <w:szCs w:val="22"/>
        </w:rPr>
        <w:t>9</w:t>
      </w:r>
      <w:r w:rsidR="004A1C3C">
        <w:rPr>
          <w:b/>
          <w:sz w:val="22"/>
          <w:szCs w:val="22"/>
        </w:rPr>
        <w:t>:</w:t>
      </w:r>
      <w:r w:rsidR="00CC1A32">
        <w:rPr>
          <w:b/>
          <w:sz w:val="22"/>
          <w:szCs w:val="22"/>
        </w:rPr>
        <w:t>0</w:t>
      </w:r>
      <w:r w:rsidR="004A1C3C">
        <w:rPr>
          <w:b/>
          <w:sz w:val="22"/>
          <w:szCs w:val="22"/>
        </w:rPr>
        <w:t xml:space="preserve">0 </w:t>
      </w:r>
      <w:r w:rsidR="004B7673">
        <w:rPr>
          <w:b/>
          <w:sz w:val="22"/>
          <w:szCs w:val="22"/>
        </w:rPr>
        <w:t>A</w:t>
      </w:r>
      <w:r w:rsidRPr="004A0497">
        <w:rPr>
          <w:b/>
          <w:sz w:val="22"/>
          <w:szCs w:val="22"/>
        </w:rPr>
        <w:t>.M.</w:t>
      </w:r>
    </w:p>
    <w:p w:rsidR="0008460E" w:rsidRPr="004A0497" w:rsidRDefault="0008460E" w:rsidP="0014775B">
      <w:pPr>
        <w:tabs>
          <w:tab w:val="left" w:pos="900"/>
        </w:tabs>
        <w:jc w:val="both"/>
        <w:rPr>
          <w:b/>
          <w:sz w:val="20"/>
          <w:szCs w:val="20"/>
        </w:rPr>
      </w:pPr>
      <w:r w:rsidRPr="004A0497">
        <w:rPr>
          <w:b/>
          <w:sz w:val="22"/>
          <w:szCs w:val="22"/>
        </w:rPr>
        <w:t xml:space="preserve">Place: </w:t>
      </w:r>
      <w:r w:rsidR="00CC1A32">
        <w:rPr>
          <w:b/>
          <w:sz w:val="22"/>
          <w:szCs w:val="22"/>
        </w:rPr>
        <w:t>HAMP</w:t>
      </w:r>
      <w:r w:rsidR="004A1C3C">
        <w:rPr>
          <w:b/>
          <w:sz w:val="22"/>
          <w:szCs w:val="22"/>
        </w:rPr>
        <w:t xml:space="preserve"> </w:t>
      </w:r>
      <w:r w:rsidR="00CC1A32">
        <w:rPr>
          <w:b/>
          <w:sz w:val="22"/>
          <w:szCs w:val="22"/>
        </w:rPr>
        <w:t>2118</w:t>
      </w:r>
    </w:p>
    <w:p w:rsidR="003B4B19" w:rsidRPr="00643133" w:rsidRDefault="003B4B19" w:rsidP="003B4B19">
      <w:pPr>
        <w:framePr w:w="2017" w:h="1441" w:hRule="exact" w:hSpace="180" w:wrap="around" w:vAnchor="text" w:hAnchor="page" w:x="5146" w:y="146"/>
        <w:jc w:val="center"/>
        <w:rPr>
          <w:b/>
          <w:sz w:val="20"/>
          <w:szCs w:val="20"/>
        </w:rPr>
      </w:pPr>
      <w:r w:rsidRPr="00643133">
        <w:rPr>
          <w:b/>
          <w:sz w:val="20"/>
          <w:szCs w:val="20"/>
        </w:rPr>
        <w:t>PURDUE MSE</w:t>
      </w:r>
    </w:p>
    <w:bookmarkStart w:id="1" w:name="_MON_1219126863"/>
    <w:bookmarkEnd w:id="1"/>
    <w:p w:rsidR="003B4B19" w:rsidRPr="00643133" w:rsidRDefault="003B4B19" w:rsidP="003B4B19">
      <w:pPr>
        <w:framePr w:w="2017" w:h="1441" w:hRule="exact" w:hSpace="180" w:wrap="around" w:vAnchor="text" w:hAnchor="page" w:x="5146" w:y="146"/>
        <w:jc w:val="center"/>
        <w:rPr>
          <w:sz w:val="20"/>
          <w:szCs w:val="20"/>
        </w:rPr>
      </w:pPr>
      <w:r w:rsidRPr="00643133">
        <w:rPr>
          <w:sz w:val="20"/>
          <w:szCs w:val="20"/>
        </w:rPr>
        <w:object w:dxaOrig="2232" w:dyaOrig="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51pt" o:ole="">
            <v:imagedata r:id="rId5" o:title=""/>
          </v:shape>
          <o:OLEObject Type="Embed" ProgID="Word.Document.8" ShapeID="_x0000_i1025" DrawAspect="Content" ObjectID="_1697004854" r:id="rId6"/>
        </w:object>
      </w:r>
    </w:p>
    <w:p w:rsidR="003B4B19" w:rsidRPr="00643133" w:rsidRDefault="003B4B19" w:rsidP="003B4B19">
      <w:pPr>
        <w:framePr w:w="2017" w:h="1441" w:hRule="exact" w:hSpace="180" w:wrap="around" w:vAnchor="text" w:hAnchor="page" w:x="5146" w:y="146"/>
        <w:jc w:val="center"/>
        <w:rPr>
          <w:sz w:val="20"/>
          <w:szCs w:val="20"/>
        </w:rPr>
      </w:pPr>
    </w:p>
    <w:p w:rsidR="003B4B19" w:rsidRPr="00643133" w:rsidRDefault="003B4B19" w:rsidP="003B4B19">
      <w:pPr>
        <w:framePr w:w="2017" w:h="1441" w:hRule="exact" w:hSpace="180" w:wrap="around" w:vAnchor="text" w:hAnchor="page" w:x="5146" w:y="146"/>
        <w:jc w:val="center"/>
        <w:rPr>
          <w:sz w:val="20"/>
          <w:szCs w:val="20"/>
        </w:rPr>
      </w:pPr>
    </w:p>
    <w:p w:rsidR="00643133" w:rsidRPr="00733AD5" w:rsidRDefault="00643133" w:rsidP="00643133">
      <w:pPr>
        <w:rPr>
          <w:sz w:val="20"/>
          <w:szCs w:val="20"/>
        </w:rPr>
      </w:pPr>
    </w:p>
    <w:p w:rsidR="00643133" w:rsidRDefault="00643133" w:rsidP="005B255A">
      <w:pPr>
        <w:tabs>
          <w:tab w:val="left" w:pos="900"/>
        </w:tabs>
        <w:rPr>
          <w:sz w:val="20"/>
          <w:szCs w:val="20"/>
        </w:rPr>
      </w:pPr>
    </w:p>
    <w:p w:rsidR="00643133" w:rsidRDefault="00643133" w:rsidP="005B255A">
      <w:pPr>
        <w:tabs>
          <w:tab w:val="left" w:pos="900"/>
        </w:tabs>
        <w:rPr>
          <w:sz w:val="20"/>
          <w:szCs w:val="20"/>
        </w:rPr>
      </w:pPr>
    </w:p>
    <w:p w:rsidR="00C10EE5" w:rsidRDefault="00C10EE5" w:rsidP="00926307">
      <w:pPr>
        <w:jc w:val="both"/>
      </w:pPr>
    </w:p>
    <w:sectPr w:rsidR="00C10EE5" w:rsidSect="00874A77">
      <w:pgSz w:w="12240" w:h="15840"/>
      <w:pgMar w:top="1440" w:right="1440" w:bottom="432"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MVVQS+TimesNewRomanBdMS">
    <w:altName w:val="Times New Roman Bold M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9F8E0D8"/>
    <w:lvl w:ilvl="0">
      <w:numFmt w:val="bullet"/>
      <w:lvlText w:val="*"/>
      <w:lvlJc w:val="left"/>
    </w:lvl>
  </w:abstractNum>
  <w:abstractNum w:abstractNumId="1" w15:restartNumberingAfterBreak="0">
    <w:nsid w:val="24AB5BE5"/>
    <w:multiLevelType w:val="hybridMultilevel"/>
    <w:tmpl w:val="6AAEF60E"/>
    <w:styleLink w:val="Numbered"/>
    <w:lvl w:ilvl="0" w:tplc="072C82C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5401A0">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06958C">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D62176">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F6EFF6">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84A402">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22CA26">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E0D668">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804E14">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AC03A4A"/>
    <w:multiLevelType w:val="hybridMultilevel"/>
    <w:tmpl w:val="6AAEF60E"/>
    <w:numStyleLink w:val="Numbered"/>
  </w:abstractNum>
  <w:abstractNum w:abstractNumId="3" w15:restartNumberingAfterBreak="0">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72"/>
    <w:rsid w:val="00080FAA"/>
    <w:rsid w:val="0008460E"/>
    <w:rsid w:val="00101EAE"/>
    <w:rsid w:val="001201C4"/>
    <w:rsid w:val="0014775B"/>
    <w:rsid w:val="00155D39"/>
    <w:rsid w:val="00191931"/>
    <w:rsid w:val="001C442C"/>
    <w:rsid w:val="001E6A2B"/>
    <w:rsid w:val="001E70D0"/>
    <w:rsid w:val="001F7FAA"/>
    <w:rsid w:val="00204755"/>
    <w:rsid w:val="00221524"/>
    <w:rsid w:val="00230E2A"/>
    <w:rsid w:val="00260B3D"/>
    <w:rsid w:val="002B6A52"/>
    <w:rsid w:val="002C0D29"/>
    <w:rsid w:val="003321A5"/>
    <w:rsid w:val="003406E9"/>
    <w:rsid w:val="00351EC7"/>
    <w:rsid w:val="003766AF"/>
    <w:rsid w:val="003A6C15"/>
    <w:rsid w:val="003B4B19"/>
    <w:rsid w:val="003F204D"/>
    <w:rsid w:val="00401FA7"/>
    <w:rsid w:val="00413377"/>
    <w:rsid w:val="004524FE"/>
    <w:rsid w:val="00485472"/>
    <w:rsid w:val="0049195C"/>
    <w:rsid w:val="004951D1"/>
    <w:rsid w:val="004A1C3C"/>
    <w:rsid w:val="004A36FD"/>
    <w:rsid w:val="004A6AD0"/>
    <w:rsid w:val="004B7673"/>
    <w:rsid w:val="004C1ED2"/>
    <w:rsid w:val="004C63FF"/>
    <w:rsid w:val="004E24C9"/>
    <w:rsid w:val="004E30DC"/>
    <w:rsid w:val="004F654B"/>
    <w:rsid w:val="00577DA0"/>
    <w:rsid w:val="005824B2"/>
    <w:rsid w:val="005A1871"/>
    <w:rsid w:val="005B255A"/>
    <w:rsid w:val="005C1EDB"/>
    <w:rsid w:val="00600FF4"/>
    <w:rsid w:val="00643133"/>
    <w:rsid w:val="00663CF4"/>
    <w:rsid w:val="00694E24"/>
    <w:rsid w:val="006F07CE"/>
    <w:rsid w:val="006F66F2"/>
    <w:rsid w:val="007015A6"/>
    <w:rsid w:val="007226A2"/>
    <w:rsid w:val="00734E96"/>
    <w:rsid w:val="007447EE"/>
    <w:rsid w:val="0076677A"/>
    <w:rsid w:val="00794BC2"/>
    <w:rsid w:val="0079644F"/>
    <w:rsid w:val="007A7B81"/>
    <w:rsid w:val="007B026D"/>
    <w:rsid w:val="007D0831"/>
    <w:rsid w:val="007D63DA"/>
    <w:rsid w:val="008256BC"/>
    <w:rsid w:val="00827719"/>
    <w:rsid w:val="00874A77"/>
    <w:rsid w:val="00894260"/>
    <w:rsid w:val="008F6FF4"/>
    <w:rsid w:val="00916FFC"/>
    <w:rsid w:val="00925E49"/>
    <w:rsid w:val="00926307"/>
    <w:rsid w:val="0097267F"/>
    <w:rsid w:val="009803F6"/>
    <w:rsid w:val="009C548A"/>
    <w:rsid w:val="00A169C2"/>
    <w:rsid w:val="00A20C39"/>
    <w:rsid w:val="00A638D5"/>
    <w:rsid w:val="00AE22C6"/>
    <w:rsid w:val="00B848BE"/>
    <w:rsid w:val="00BB58C2"/>
    <w:rsid w:val="00BC67C2"/>
    <w:rsid w:val="00BD4727"/>
    <w:rsid w:val="00BE2445"/>
    <w:rsid w:val="00C00E36"/>
    <w:rsid w:val="00C10EE5"/>
    <w:rsid w:val="00C209C9"/>
    <w:rsid w:val="00C55D5C"/>
    <w:rsid w:val="00C71E68"/>
    <w:rsid w:val="00CC1A32"/>
    <w:rsid w:val="00CD6246"/>
    <w:rsid w:val="00CD6EA9"/>
    <w:rsid w:val="00CE26AC"/>
    <w:rsid w:val="00D03EBC"/>
    <w:rsid w:val="00D050A2"/>
    <w:rsid w:val="00D14E45"/>
    <w:rsid w:val="00DE5A22"/>
    <w:rsid w:val="00E25B67"/>
    <w:rsid w:val="00E30B13"/>
    <w:rsid w:val="00E72C94"/>
    <w:rsid w:val="00E84B27"/>
    <w:rsid w:val="00E91D19"/>
    <w:rsid w:val="00EA5CD1"/>
    <w:rsid w:val="00ED2173"/>
    <w:rsid w:val="00EF4BF6"/>
    <w:rsid w:val="00F61178"/>
    <w:rsid w:val="00F6122A"/>
    <w:rsid w:val="00F77EAC"/>
    <w:rsid w:val="00FA3F11"/>
    <w:rsid w:val="00FB3A09"/>
    <w:rsid w:val="00FF2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8EF028A"/>
  <w15:chartTrackingRefBased/>
  <w15:docId w15:val="{4A9D1D7E-7F3B-48BF-9DB4-7D053196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u w:val="single"/>
    </w:rPr>
  </w:style>
  <w:style w:type="paragraph" w:styleId="Heading2">
    <w:name w:val="heading 2"/>
    <w:basedOn w:val="Normal"/>
    <w:next w:val="Normal"/>
    <w:qFormat/>
    <w:pPr>
      <w:keepNext/>
      <w:jc w:val="center"/>
      <w:outlineLvl w:val="1"/>
    </w:pPr>
    <w:rPr>
      <w:b/>
      <w:bCs/>
      <w:sz w:val="20"/>
      <w:lang w:val="fr-FR"/>
    </w:rPr>
  </w:style>
  <w:style w:type="paragraph" w:styleId="Heading3">
    <w:name w:val="heading 3"/>
    <w:aliases w:val="Heading 3 Char"/>
    <w:basedOn w:val="Normal"/>
    <w:next w:val="Normal"/>
    <w:link w:val="Heading3Char1"/>
    <w:qFormat/>
    <w:pPr>
      <w:keepNext/>
      <w:jc w:val="center"/>
      <w:outlineLvl w:val="2"/>
    </w:pPr>
    <w:rPr>
      <w:b/>
      <w:szCs w:val="20"/>
    </w:rPr>
  </w:style>
  <w:style w:type="paragraph" w:styleId="Heading4">
    <w:name w:val="heading 4"/>
    <w:basedOn w:val="Normal"/>
    <w:next w:val="Normal"/>
    <w:qFormat/>
    <w:pPr>
      <w:keepNext/>
      <w:tabs>
        <w:tab w:val="left" w:pos="900"/>
      </w:tabs>
      <w:spacing w:line="360" w:lineRule="auto"/>
      <w:jc w:val="both"/>
      <w:outlineLvl w:val="3"/>
    </w:pPr>
    <w:rPr>
      <w:b/>
      <w:bCs/>
      <w:u w:val="single"/>
      <w:lang w:val="en-GB"/>
    </w:rPr>
  </w:style>
  <w:style w:type="paragraph" w:styleId="Heading5">
    <w:name w:val="heading 5"/>
    <w:basedOn w:val="Normal"/>
    <w:next w:val="Normal"/>
    <w:qFormat/>
    <w:pPr>
      <w:keepNext/>
      <w:tabs>
        <w:tab w:val="left" w:pos="8370"/>
      </w:tabs>
      <w:spacing w:line="360" w:lineRule="auto"/>
      <w:jc w:val="center"/>
      <w:outlineLvl w:val="4"/>
    </w:pPr>
    <w:rPr>
      <w:b/>
      <w:sz w:val="32"/>
    </w:rPr>
  </w:style>
  <w:style w:type="paragraph" w:styleId="Heading9">
    <w:name w:val="heading 9"/>
    <w:basedOn w:val="Normal"/>
    <w:next w:val="Normal"/>
    <w:qFormat/>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customStyle="1" w:styleId="DefaultParagraphFont1">
    <w:name w:val="Default Paragraph Font1"/>
    <w:pPr>
      <w:spacing w:line="120" w:lineRule="atLeast"/>
    </w:pPr>
    <w:rPr>
      <w:rFonts w:ascii="Times" w:hAnsi="Times"/>
      <w:sz w:val="24"/>
    </w:rPr>
  </w:style>
  <w:style w:type="paragraph" w:styleId="BodyTextIndent">
    <w:name w:val="Body Text Indent"/>
    <w:basedOn w:val="Normal"/>
    <w:pPr>
      <w:ind w:firstLine="720"/>
    </w:pPr>
    <w:rPr>
      <w:szCs w:val="20"/>
    </w:rPr>
  </w:style>
  <w:style w:type="paragraph" w:styleId="BodyText">
    <w:name w:val="Body Text"/>
    <w:basedOn w:val="Normal"/>
    <w:pPr>
      <w:jc w:val="both"/>
    </w:pPr>
    <w:rPr>
      <w:rFonts w:ascii="Arial" w:hAnsi="Arial"/>
      <w:i/>
      <w:iCs/>
      <w:sz w:val="28"/>
      <w:szCs w:val="36"/>
    </w:rPr>
  </w:style>
  <w:style w:type="paragraph" w:styleId="BodyText2">
    <w:name w:val="Body Text 2"/>
    <w:basedOn w:val="Normal"/>
    <w:pPr>
      <w:jc w:val="center"/>
    </w:pPr>
    <w:rPr>
      <w:rFonts w:ascii="Times" w:hAnsi="Times"/>
      <w:b/>
      <w:bCs/>
      <w:color w:val="000000"/>
      <w:sz w:val="36"/>
      <w:szCs w:val="36"/>
    </w:rPr>
  </w:style>
  <w:style w:type="paragraph" w:styleId="BlockText">
    <w:name w:val="Block Text"/>
    <w:basedOn w:val="Normal"/>
    <w:pPr>
      <w:autoSpaceDE w:val="0"/>
      <w:autoSpaceDN w:val="0"/>
      <w:adjustRightInd w:val="0"/>
      <w:ind w:left="-720" w:right="-540" w:firstLine="720"/>
      <w:jc w:val="both"/>
    </w:pPr>
    <w:rPr>
      <w:szCs w:val="20"/>
    </w:rPr>
  </w:style>
  <w:style w:type="paragraph" w:styleId="BodyText3">
    <w:name w:val="Body Text 3"/>
    <w:basedOn w:val="Normal"/>
    <w:pPr>
      <w:autoSpaceDE w:val="0"/>
      <w:autoSpaceDN w:val="0"/>
      <w:adjustRightInd w:val="0"/>
      <w:ind w:right="-540"/>
      <w:jc w:val="both"/>
    </w:pPr>
    <w:rPr>
      <w:sz w:val="22"/>
      <w:szCs w:val="20"/>
    </w:rPr>
  </w:style>
  <w:style w:type="paragraph" w:customStyle="1" w:styleId="dom">
    <w:name w:val="dom"/>
    <w:basedOn w:val="Normal"/>
    <w:pPr>
      <w:jc w:val="both"/>
    </w:pPr>
    <w:rPr>
      <w:szCs w:val="20"/>
      <w:lang w:val="fr-FR"/>
    </w:rPr>
  </w:style>
  <w:style w:type="paragraph" w:customStyle="1" w:styleId="InsideAddress">
    <w:name w:val="Inside Address"/>
    <w:basedOn w:val="Normal"/>
    <w:rPr>
      <w:rFonts w:ascii="Times" w:eastAsia="Times" w:hAnsi="Times"/>
      <w:szCs w:val="20"/>
    </w:rPr>
  </w:style>
  <w:style w:type="character" w:styleId="Hyperlink">
    <w:name w:val="Hyperlink"/>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sz w:val="24"/>
      <w:szCs w:val="24"/>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 w:type="paragraph" w:customStyle="1" w:styleId="Normal1">
    <w:name w:val="Normal1"/>
    <w:rsid w:val="00916FFC"/>
    <w:rPr>
      <w:color w:val="000000"/>
      <w:sz w:val="24"/>
    </w:rPr>
  </w:style>
  <w:style w:type="numbering" w:customStyle="1" w:styleId="Numbered">
    <w:name w:val="Numbered"/>
    <w:rsid w:val="009C548A"/>
    <w:pPr>
      <w:numPr>
        <w:numId w:val="4"/>
      </w:numPr>
    </w:pPr>
  </w:style>
  <w:style w:type="paragraph" w:customStyle="1" w:styleId="BDAbstract">
    <w:name w:val="BD_Abstract"/>
    <w:basedOn w:val="Normal"/>
    <w:next w:val="Normal"/>
    <w:rsid w:val="0008460E"/>
    <w:pPr>
      <w:spacing w:before="360" w:after="360" w:line="480" w:lineRule="auto"/>
      <w:jc w:val="both"/>
    </w:pPr>
    <w:rPr>
      <w:rFonts w:ascii="Times" w:hAnsi="Times"/>
      <w:szCs w:val="20"/>
    </w:rPr>
  </w:style>
  <w:style w:type="paragraph" w:customStyle="1" w:styleId="p1">
    <w:name w:val="p1"/>
    <w:basedOn w:val="Normal"/>
    <w:rsid w:val="003B4B19"/>
    <w:rPr>
      <w:rFonts w:ascii="Times" w:hAnsi="Times"/>
      <w:sz w:val="15"/>
      <w:szCs w:val="15"/>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80500">
      <w:bodyDiv w:val="1"/>
      <w:marLeft w:val="0"/>
      <w:marRight w:val="0"/>
      <w:marTop w:val="0"/>
      <w:marBottom w:val="0"/>
      <w:divBdr>
        <w:top w:val="none" w:sz="0" w:space="0" w:color="auto"/>
        <w:left w:val="none" w:sz="0" w:space="0" w:color="auto"/>
        <w:bottom w:val="none" w:sz="0" w:space="0" w:color="auto"/>
        <w:right w:val="none" w:sz="0" w:space="0" w:color="auto"/>
      </w:divBdr>
    </w:div>
    <w:div w:id="373046493">
      <w:bodyDiv w:val="1"/>
      <w:marLeft w:val="0"/>
      <w:marRight w:val="0"/>
      <w:marTop w:val="0"/>
      <w:marBottom w:val="0"/>
      <w:divBdr>
        <w:top w:val="none" w:sz="0" w:space="0" w:color="auto"/>
        <w:left w:val="none" w:sz="0" w:space="0" w:color="auto"/>
        <w:bottom w:val="none" w:sz="0" w:space="0" w:color="auto"/>
        <w:right w:val="none" w:sz="0" w:space="0" w:color="auto"/>
      </w:divBdr>
    </w:div>
    <w:div w:id="448857897">
      <w:bodyDiv w:val="1"/>
      <w:marLeft w:val="0"/>
      <w:marRight w:val="0"/>
      <w:marTop w:val="0"/>
      <w:marBottom w:val="0"/>
      <w:divBdr>
        <w:top w:val="none" w:sz="0" w:space="0" w:color="auto"/>
        <w:left w:val="none" w:sz="0" w:space="0" w:color="auto"/>
        <w:bottom w:val="none" w:sz="0" w:space="0" w:color="auto"/>
        <w:right w:val="none" w:sz="0" w:space="0" w:color="auto"/>
      </w:divBdr>
    </w:div>
    <w:div w:id="540748373">
      <w:bodyDiv w:val="1"/>
      <w:marLeft w:val="0"/>
      <w:marRight w:val="0"/>
      <w:marTop w:val="0"/>
      <w:marBottom w:val="0"/>
      <w:divBdr>
        <w:top w:val="none" w:sz="0" w:space="0" w:color="auto"/>
        <w:left w:val="none" w:sz="0" w:space="0" w:color="auto"/>
        <w:bottom w:val="none" w:sz="0" w:space="0" w:color="auto"/>
        <w:right w:val="none" w:sz="0" w:space="0" w:color="auto"/>
      </w:divBdr>
    </w:div>
    <w:div w:id="658658226">
      <w:bodyDiv w:val="1"/>
      <w:marLeft w:val="0"/>
      <w:marRight w:val="0"/>
      <w:marTop w:val="0"/>
      <w:marBottom w:val="0"/>
      <w:divBdr>
        <w:top w:val="none" w:sz="0" w:space="0" w:color="auto"/>
        <w:left w:val="none" w:sz="0" w:space="0" w:color="auto"/>
        <w:bottom w:val="none" w:sz="0" w:space="0" w:color="auto"/>
        <w:right w:val="none" w:sz="0" w:space="0" w:color="auto"/>
      </w:divBdr>
    </w:div>
    <w:div w:id="741682021">
      <w:bodyDiv w:val="1"/>
      <w:marLeft w:val="0"/>
      <w:marRight w:val="0"/>
      <w:marTop w:val="0"/>
      <w:marBottom w:val="0"/>
      <w:divBdr>
        <w:top w:val="none" w:sz="0" w:space="0" w:color="auto"/>
        <w:left w:val="none" w:sz="0" w:space="0" w:color="auto"/>
        <w:bottom w:val="none" w:sz="0" w:space="0" w:color="auto"/>
        <w:right w:val="none" w:sz="0" w:space="0" w:color="auto"/>
      </w:divBdr>
    </w:div>
    <w:div w:id="809443852">
      <w:bodyDiv w:val="1"/>
      <w:marLeft w:val="0"/>
      <w:marRight w:val="0"/>
      <w:marTop w:val="0"/>
      <w:marBottom w:val="0"/>
      <w:divBdr>
        <w:top w:val="none" w:sz="0" w:space="0" w:color="auto"/>
        <w:left w:val="none" w:sz="0" w:space="0" w:color="auto"/>
        <w:bottom w:val="none" w:sz="0" w:space="0" w:color="auto"/>
        <w:right w:val="none" w:sz="0" w:space="0" w:color="auto"/>
      </w:divBdr>
      <w:divsChild>
        <w:div w:id="600648972">
          <w:marLeft w:val="0"/>
          <w:marRight w:val="0"/>
          <w:marTop w:val="0"/>
          <w:marBottom w:val="0"/>
          <w:divBdr>
            <w:top w:val="none" w:sz="0" w:space="0" w:color="auto"/>
            <w:left w:val="none" w:sz="0" w:space="0" w:color="auto"/>
            <w:bottom w:val="none" w:sz="0" w:space="0" w:color="auto"/>
            <w:right w:val="none" w:sz="0" w:space="0" w:color="auto"/>
          </w:divBdr>
        </w:div>
        <w:div w:id="965308818">
          <w:marLeft w:val="0"/>
          <w:marRight w:val="0"/>
          <w:marTop w:val="0"/>
          <w:marBottom w:val="0"/>
          <w:divBdr>
            <w:top w:val="none" w:sz="0" w:space="0" w:color="auto"/>
            <w:left w:val="none" w:sz="0" w:space="0" w:color="auto"/>
            <w:bottom w:val="none" w:sz="0" w:space="0" w:color="auto"/>
            <w:right w:val="none" w:sz="0" w:space="0" w:color="auto"/>
          </w:divBdr>
        </w:div>
        <w:div w:id="1515416375">
          <w:marLeft w:val="0"/>
          <w:marRight w:val="0"/>
          <w:marTop w:val="0"/>
          <w:marBottom w:val="0"/>
          <w:divBdr>
            <w:top w:val="none" w:sz="0" w:space="0" w:color="auto"/>
            <w:left w:val="none" w:sz="0" w:space="0" w:color="auto"/>
            <w:bottom w:val="none" w:sz="0" w:space="0" w:color="auto"/>
            <w:right w:val="none" w:sz="0" w:space="0" w:color="auto"/>
          </w:divBdr>
        </w:div>
        <w:div w:id="2011253477">
          <w:marLeft w:val="0"/>
          <w:marRight w:val="0"/>
          <w:marTop w:val="0"/>
          <w:marBottom w:val="0"/>
          <w:divBdr>
            <w:top w:val="none" w:sz="0" w:space="0" w:color="auto"/>
            <w:left w:val="none" w:sz="0" w:space="0" w:color="auto"/>
            <w:bottom w:val="none" w:sz="0" w:space="0" w:color="auto"/>
            <w:right w:val="none" w:sz="0" w:space="0" w:color="auto"/>
          </w:divBdr>
        </w:div>
      </w:divsChild>
    </w:div>
    <w:div w:id="929922617">
      <w:bodyDiv w:val="1"/>
      <w:marLeft w:val="0"/>
      <w:marRight w:val="0"/>
      <w:marTop w:val="0"/>
      <w:marBottom w:val="0"/>
      <w:divBdr>
        <w:top w:val="none" w:sz="0" w:space="0" w:color="auto"/>
        <w:left w:val="none" w:sz="0" w:space="0" w:color="auto"/>
        <w:bottom w:val="none" w:sz="0" w:space="0" w:color="auto"/>
        <w:right w:val="none" w:sz="0" w:space="0" w:color="auto"/>
      </w:divBdr>
      <w:divsChild>
        <w:div w:id="35132356">
          <w:marLeft w:val="0"/>
          <w:marRight w:val="0"/>
          <w:marTop w:val="0"/>
          <w:marBottom w:val="0"/>
          <w:divBdr>
            <w:top w:val="none" w:sz="0" w:space="0" w:color="auto"/>
            <w:left w:val="none" w:sz="0" w:space="0" w:color="auto"/>
            <w:bottom w:val="none" w:sz="0" w:space="0" w:color="auto"/>
            <w:right w:val="none" w:sz="0" w:space="0" w:color="auto"/>
          </w:divBdr>
        </w:div>
        <w:div w:id="99183363">
          <w:marLeft w:val="0"/>
          <w:marRight w:val="0"/>
          <w:marTop w:val="0"/>
          <w:marBottom w:val="0"/>
          <w:divBdr>
            <w:top w:val="none" w:sz="0" w:space="0" w:color="auto"/>
            <w:left w:val="none" w:sz="0" w:space="0" w:color="auto"/>
            <w:bottom w:val="none" w:sz="0" w:space="0" w:color="auto"/>
            <w:right w:val="none" w:sz="0" w:space="0" w:color="auto"/>
          </w:divBdr>
        </w:div>
        <w:div w:id="197402868">
          <w:marLeft w:val="0"/>
          <w:marRight w:val="0"/>
          <w:marTop w:val="0"/>
          <w:marBottom w:val="0"/>
          <w:divBdr>
            <w:top w:val="none" w:sz="0" w:space="0" w:color="auto"/>
            <w:left w:val="none" w:sz="0" w:space="0" w:color="auto"/>
            <w:bottom w:val="none" w:sz="0" w:space="0" w:color="auto"/>
            <w:right w:val="none" w:sz="0" w:space="0" w:color="auto"/>
          </w:divBdr>
        </w:div>
        <w:div w:id="197669591">
          <w:marLeft w:val="0"/>
          <w:marRight w:val="0"/>
          <w:marTop w:val="0"/>
          <w:marBottom w:val="0"/>
          <w:divBdr>
            <w:top w:val="none" w:sz="0" w:space="0" w:color="auto"/>
            <w:left w:val="none" w:sz="0" w:space="0" w:color="auto"/>
            <w:bottom w:val="none" w:sz="0" w:space="0" w:color="auto"/>
            <w:right w:val="none" w:sz="0" w:space="0" w:color="auto"/>
          </w:divBdr>
        </w:div>
        <w:div w:id="423841326">
          <w:marLeft w:val="0"/>
          <w:marRight w:val="0"/>
          <w:marTop w:val="0"/>
          <w:marBottom w:val="0"/>
          <w:divBdr>
            <w:top w:val="none" w:sz="0" w:space="0" w:color="auto"/>
            <w:left w:val="none" w:sz="0" w:space="0" w:color="auto"/>
            <w:bottom w:val="none" w:sz="0" w:space="0" w:color="auto"/>
            <w:right w:val="none" w:sz="0" w:space="0" w:color="auto"/>
          </w:divBdr>
        </w:div>
        <w:div w:id="673608631">
          <w:marLeft w:val="0"/>
          <w:marRight w:val="0"/>
          <w:marTop w:val="0"/>
          <w:marBottom w:val="0"/>
          <w:divBdr>
            <w:top w:val="none" w:sz="0" w:space="0" w:color="auto"/>
            <w:left w:val="none" w:sz="0" w:space="0" w:color="auto"/>
            <w:bottom w:val="none" w:sz="0" w:space="0" w:color="auto"/>
            <w:right w:val="none" w:sz="0" w:space="0" w:color="auto"/>
          </w:divBdr>
        </w:div>
        <w:div w:id="1163664649">
          <w:marLeft w:val="0"/>
          <w:marRight w:val="0"/>
          <w:marTop w:val="0"/>
          <w:marBottom w:val="0"/>
          <w:divBdr>
            <w:top w:val="none" w:sz="0" w:space="0" w:color="auto"/>
            <w:left w:val="none" w:sz="0" w:space="0" w:color="auto"/>
            <w:bottom w:val="none" w:sz="0" w:space="0" w:color="auto"/>
            <w:right w:val="none" w:sz="0" w:space="0" w:color="auto"/>
          </w:divBdr>
        </w:div>
        <w:div w:id="1236476593">
          <w:marLeft w:val="0"/>
          <w:marRight w:val="0"/>
          <w:marTop w:val="0"/>
          <w:marBottom w:val="0"/>
          <w:divBdr>
            <w:top w:val="none" w:sz="0" w:space="0" w:color="auto"/>
            <w:left w:val="none" w:sz="0" w:space="0" w:color="auto"/>
            <w:bottom w:val="none" w:sz="0" w:space="0" w:color="auto"/>
            <w:right w:val="none" w:sz="0" w:space="0" w:color="auto"/>
          </w:divBdr>
        </w:div>
        <w:div w:id="1356810122">
          <w:marLeft w:val="0"/>
          <w:marRight w:val="0"/>
          <w:marTop w:val="0"/>
          <w:marBottom w:val="0"/>
          <w:divBdr>
            <w:top w:val="none" w:sz="0" w:space="0" w:color="auto"/>
            <w:left w:val="none" w:sz="0" w:space="0" w:color="auto"/>
            <w:bottom w:val="none" w:sz="0" w:space="0" w:color="auto"/>
            <w:right w:val="none" w:sz="0" w:space="0" w:color="auto"/>
          </w:divBdr>
        </w:div>
        <w:div w:id="1362319620">
          <w:marLeft w:val="0"/>
          <w:marRight w:val="0"/>
          <w:marTop w:val="0"/>
          <w:marBottom w:val="0"/>
          <w:divBdr>
            <w:top w:val="none" w:sz="0" w:space="0" w:color="auto"/>
            <w:left w:val="none" w:sz="0" w:space="0" w:color="auto"/>
            <w:bottom w:val="none" w:sz="0" w:space="0" w:color="auto"/>
            <w:right w:val="none" w:sz="0" w:space="0" w:color="auto"/>
          </w:divBdr>
        </w:div>
        <w:div w:id="1382901154">
          <w:marLeft w:val="0"/>
          <w:marRight w:val="0"/>
          <w:marTop w:val="0"/>
          <w:marBottom w:val="0"/>
          <w:divBdr>
            <w:top w:val="none" w:sz="0" w:space="0" w:color="auto"/>
            <w:left w:val="none" w:sz="0" w:space="0" w:color="auto"/>
            <w:bottom w:val="none" w:sz="0" w:space="0" w:color="auto"/>
            <w:right w:val="none" w:sz="0" w:space="0" w:color="auto"/>
          </w:divBdr>
        </w:div>
        <w:div w:id="1386641540">
          <w:marLeft w:val="0"/>
          <w:marRight w:val="0"/>
          <w:marTop w:val="0"/>
          <w:marBottom w:val="0"/>
          <w:divBdr>
            <w:top w:val="none" w:sz="0" w:space="0" w:color="auto"/>
            <w:left w:val="none" w:sz="0" w:space="0" w:color="auto"/>
            <w:bottom w:val="none" w:sz="0" w:space="0" w:color="auto"/>
            <w:right w:val="none" w:sz="0" w:space="0" w:color="auto"/>
          </w:divBdr>
        </w:div>
        <w:div w:id="1421095973">
          <w:marLeft w:val="0"/>
          <w:marRight w:val="0"/>
          <w:marTop w:val="0"/>
          <w:marBottom w:val="0"/>
          <w:divBdr>
            <w:top w:val="none" w:sz="0" w:space="0" w:color="auto"/>
            <w:left w:val="none" w:sz="0" w:space="0" w:color="auto"/>
            <w:bottom w:val="none" w:sz="0" w:space="0" w:color="auto"/>
            <w:right w:val="none" w:sz="0" w:space="0" w:color="auto"/>
          </w:divBdr>
        </w:div>
        <w:div w:id="1575696518">
          <w:marLeft w:val="0"/>
          <w:marRight w:val="0"/>
          <w:marTop w:val="0"/>
          <w:marBottom w:val="0"/>
          <w:divBdr>
            <w:top w:val="none" w:sz="0" w:space="0" w:color="auto"/>
            <w:left w:val="none" w:sz="0" w:space="0" w:color="auto"/>
            <w:bottom w:val="none" w:sz="0" w:space="0" w:color="auto"/>
            <w:right w:val="none" w:sz="0" w:space="0" w:color="auto"/>
          </w:divBdr>
        </w:div>
        <w:div w:id="1708749190">
          <w:marLeft w:val="0"/>
          <w:marRight w:val="0"/>
          <w:marTop w:val="0"/>
          <w:marBottom w:val="0"/>
          <w:divBdr>
            <w:top w:val="none" w:sz="0" w:space="0" w:color="auto"/>
            <w:left w:val="none" w:sz="0" w:space="0" w:color="auto"/>
            <w:bottom w:val="none" w:sz="0" w:space="0" w:color="auto"/>
            <w:right w:val="none" w:sz="0" w:space="0" w:color="auto"/>
          </w:divBdr>
        </w:div>
        <w:div w:id="1747651600">
          <w:marLeft w:val="0"/>
          <w:marRight w:val="0"/>
          <w:marTop w:val="0"/>
          <w:marBottom w:val="0"/>
          <w:divBdr>
            <w:top w:val="none" w:sz="0" w:space="0" w:color="auto"/>
            <w:left w:val="none" w:sz="0" w:space="0" w:color="auto"/>
            <w:bottom w:val="none" w:sz="0" w:space="0" w:color="auto"/>
            <w:right w:val="none" w:sz="0" w:space="0" w:color="auto"/>
          </w:divBdr>
        </w:div>
        <w:div w:id="1919560112">
          <w:marLeft w:val="0"/>
          <w:marRight w:val="0"/>
          <w:marTop w:val="0"/>
          <w:marBottom w:val="0"/>
          <w:divBdr>
            <w:top w:val="none" w:sz="0" w:space="0" w:color="auto"/>
            <w:left w:val="none" w:sz="0" w:space="0" w:color="auto"/>
            <w:bottom w:val="none" w:sz="0" w:space="0" w:color="auto"/>
            <w:right w:val="none" w:sz="0" w:space="0" w:color="auto"/>
          </w:divBdr>
        </w:div>
        <w:div w:id="1962606699">
          <w:marLeft w:val="0"/>
          <w:marRight w:val="0"/>
          <w:marTop w:val="0"/>
          <w:marBottom w:val="0"/>
          <w:divBdr>
            <w:top w:val="none" w:sz="0" w:space="0" w:color="auto"/>
            <w:left w:val="none" w:sz="0" w:space="0" w:color="auto"/>
            <w:bottom w:val="none" w:sz="0" w:space="0" w:color="auto"/>
            <w:right w:val="none" w:sz="0" w:space="0" w:color="auto"/>
          </w:divBdr>
        </w:div>
        <w:div w:id="2110352624">
          <w:marLeft w:val="0"/>
          <w:marRight w:val="0"/>
          <w:marTop w:val="0"/>
          <w:marBottom w:val="0"/>
          <w:divBdr>
            <w:top w:val="none" w:sz="0" w:space="0" w:color="auto"/>
            <w:left w:val="none" w:sz="0" w:space="0" w:color="auto"/>
            <w:bottom w:val="none" w:sz="0" w:space="0" w:color="auto"/>
            <w:right w:val="none" w:sz="0" w:space="0" w:color="auto"/>
          </w:divBdr>
        </w:div>
      </w:divsChild>
    </w:div>
    <w:div w:id="1170296466">
      <w:bodyDiv w:val="1"/>
      <w:marLeft w:val="0"/>
      <w:marRight w:val="0"/>
      <w:marTop w:val="0"/>
      <w:marBottom w:val="0"/>
      <w:divBdr>
        <w:top w:val="none" w:sz="0" w:space="0" w:color="auto"/>
        <w:left w:val="none" w:sz="0" w:space="0" w:color="auto"/>
        <w:bottom w:val="none" w:sz="0" w:space="0" w:color="auto"/>
        <w:right w:val="none" w:sz="0" w:space="0" w:color="auto"/>
      </w:divBdr>
    </w:div>
    <w:div w:id="1719088127">
      <w:bodyDiv w:val="1"/>
      <w:marLeft w:val="0"/>
      <w:marRight w:val="0"/>
      <w:marTop w:val="0"/>
      <w:marBottom w:val="0"/>
      <w:divBdr>
        <w:top w:val="none" w:sz="0" w:space="0" w:color="auto"/>
        <w:left w:val="none" w:sz="0" w:space="0" w:color="auto"/>
        <w:bottom w:val="none" w:sz="0" w:space="0" w:color="auto"/>
        <w:right w:val="none" w:sz="0" w:space="0" w:color="auto"/>
      </w:divBdr>
    </w:div>
    <w:div w:id="201307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687</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AND ENGINEERING</dc:title>
  <dc:subject/>
  <dc:creator>kathy</dc:creator>
  <cp:keywords/>
  <cp:lastModifiedBy>Morgan, Yuan-Yu Karen</cp:lastModifiedBy>
  <cp:revision>3</cp:revision>
  <cp:lastPrinted>2019-11-15T14:13:00Z</cp:lastPrinted>
  <dcterms:created xsi:type="dcterms:W3CDTF">2021-10-29T13:19:00Z</dcterms:created>
  <dcterms:modified xsi:type="dcterms:W3CDTF">2021-10-29T13:28:00Z</dcterms:modified>
</cp:coreProperties>
</file>