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80" w:rsidRDefault="00AE7780" w:rsidP="00AE778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  <w:r w:rsidRPr="00AE7780">
        <w:rPr>
          <w:rFonts w:ascii="TT35FFo00" w:hAnsi="TT35FFo00" w:cs="TT35FFo00"/>
          <w:noProof/>
          <w:sz w:val="34"/>
          <w:szCs w:val="36"/>
        </w:rPr>
        <w:drawing>
          <wp:anchor distT="0" distB="0" distL="114300" distR="114300" simplePos="0" relativeHeight="251659264" behindDoc="1" locked="0" layoutInCell="1" allowOverlap="0" wp14:anchorId="4918B025" wp14:editId="532A4851">
            <wp:simplePos x="0" y="0"/>
            <wp:positionH relativeFrom="column">
              <wp:posOffset>2264410</wp:posOffset>
            </wp:positionH>
            <wp:positionV relativeFrom="paragraph">
              <wp:posOffset>87630</wp:posOffset>
            </wp:positionV>
            <wp:extent cx="2305685" cy="765175"/>
            <wp:effectExtent l="0" t="0" r="0" b="0"/>
            <wp:wrapSquare wrapText="bothSides"/>
            <wp:docPr id="2" name="Picture 2" descr="NEW_LOGO_blackwelder-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LOGO_blackwelder-identit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780" w:rsidRDefault="00AE7780" w:rsidP="00AE778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</w:p>
    <w:p w:rsidR="00AE7780" w:rsidRDefault="00AE7780" w:rsidP="00B93E0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</w:p>
    <w:p w:rsidR="00F613E2" w:rsidRDefault="00F613E2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613E2" w:rsidRDefault="00F613E2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AE7780" w:rsidRPr="000A10D0" w:rsidRDefault="00AE7780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0A10D0">
        <w:rPr>
          <w:rFonts w:asciiTheme="minorHAnsi" w:hAnsiTheme="minorHAnsi" w:cstheme="minorHAnsi"/>
          <w:b/>
          <w:bCs/>
          <w:caps/>
          <w:sz w:val="28"/>
          <w:szCs w:val="28"/>
        </w:rPr>
        <w:t>College of Engineering and College of Science</w:t>
      </w:r>
    </w:p>
    <w:p w:rsidR="00AE7780" w:rsidRPr="000A10D0" w:rsidRDefault="000A10D0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0A10D0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Predictive Science &amp; Engineering</w:t>
      </w:r>
      <w:r w:rsidRPr="000A10D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AE7780" w:rsidRPr="000A10D0">
        <w:rPr>
          <w:rFonts w:asciiTheme="minorHAnsi" w:hAnsiTheme="minorHAnsi" w:cstheme="minorHAnsi"/>
          <w:b/>
          <w:bCs/>
          <w:caps/>
          <w:sz w:val="28"/>
          <w:szCs w:val="28"/>
        </w:rPr>
        <w:t>Faculty Candidate</w:t>
      </w:r>
    </w:p>
    <w:p w:rsidR="00AE7780" w:rsidRPr="0049520C" w:rsidRDefault="00AE7780" w:rsidP="00B93E0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E7780" w:rsidRPr="00A83C2A" w:rsidRDefault="00AE7780" w:rsidP="00C23C6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3C2A">
        <w:rPr>
          <w:rFonts w:asciiTheme="minorHAnsi" w:hAnsiTheme="minorHAnsi" w:cstheme="minorHAnsi"/>
          <w:b/>
          <w:bCs/>
          <w:sz w:val="28"/>
          <w:szCs w:val="28"/>
        </w:rPr>
        <w:t>SEM</w:t>
      </w:r>
      <w:bookmarkStart w:id="0" w:name="_GoBack"/>
      <w:bookmarkEnd w:id="0"/>
      <w:r w:rsidRPr="00A83C2A">
        <w:rPr>
          <w:rFonts w:asciiTheme="minorHAnsi" w:hAnsiTheme="minorHAnsi" w:cstheme="minorHAnsi"/>
          <w:b/>
          <w:bCs/>
          <w:sz w:val="28"/>
          <w:szCs w:val="28"/>
        </w:rPr>
        <w:t>IINAR</w:t>
      </w:r>
    </w:p>
    <w:p w:rsidR="00AE7780" w:rsidRPr="00B15CA7" w:rsidRDefault="00F613E2" w:rsidP="00F613E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5CA7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 xml:space="preserve">Wednesday, </w:t>
      </w:r>
      <w:r w:rsidR="00B15CA7" w:rsidRPr="00B15CA7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>July 2, 2014</w:t>
      </w:r>
      <w:r w:rsidRPr="00B15CA7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>, 10:30am</w:t>
      </w:r>
      <w:r w:rsidR="00B15CA7" w:rsidRPr="00B15CA7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 xml:space="preserve">, </w:t>
      </w:r>
      <w:r w:rsidR="00B15CA7" w:rsidRPr="00B15CA7">
        <w:rPr>
          <w:rFonts w:asciiTheme="minorHAnsi" w:hAnsiTheme="minorHAnsi" w:cstheme="minorHAnsi"/>
          <w:b/>
          <w:sz w:val="28"/>
          <w:szCs w:val="28"/>
        </w:rPr>
        <w:t>WTHR 172</w:t>
      </w:r>
    </w:p>
    <w:p w:rsidR="00AE7780" w:rsidRPr="008E777A" w:rsidRDefault="00AE7780" w:rsidP="00C23C68">
      <w:pPr>
        <w:rPr>
          <w:rFonts w:asciiTheme="minorHAnsi" w:hAnsiTheme="minorHAnsi" w:cstheme="minorHAnsi"/>
          <w:sz w:val="22"/>
          <w:szCs w:val="22"/>
        </w:rPr>
      </w:pPr>
    </w:p>
    <w:p w:rsidR="00B15CA7" w:rsidRDefault="00B15CA7" w:rsidP="00B15CA7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  <w:t>Chemical Predictive Modeling in Actinide Chemistry and Catalysis</w:t>
      </w:r>
    </w:p>
    <w:p w:rsidR="00B15CA7" w:rsidRDefault="00B15CA7" w:rsidP="00B15CA7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28"/>
          <w:szCs w:val="28"/>
        </w:rPr>
      </w:pPr>
    </w:p>
    <w:p w:rsidR="00B15CA7" w:rsidRPr="00B15CA7" w:rsidRDefault="00B15CA7" w:rsidP="00B15CA7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color w:val="000000"/>
          <w:sz w:val="32"/>
        </w:rPr>
      </w:pPr>
      <w:r>
        <w:rPr>
          <w:rFonts w:ascii="TimesNewRomanPS-BoldMT" w:eastAsiaTheme="minorHAnsi" w:hAnsi="TimesNewRomanPS-BoldMT" w:cs="TimesNewRomanPS-BoldMT"/>
          <w:b/>
          <w:bCs/>
          <w:color w:val="000000"/>
          <w:sz w:val="32"/>
        </w:rPr>
        <w:t xml:space="preserve">Dr. </w:t>
      </w:r>
      <w:r w:rsidRPr="00B15CA7">
        <w:rPr>
          <w:rFonts w:ascii="TimesNewRomanPS-BoldMT" w:eastAsiaTheme="minorHAnsi" w:hAnsi="TimesNewRomanPS-BoldMT" w:cs="TimesNewRomanPS-BoldMT"/>
          <w:b/>
          <w:bCs/>
          <w:color w:val="000000"/>
          <w:sz w:val="32"/>
        </w:rPr>
        <w:t>Ping Yang</w:t>
      </w:r>
    </w:p>
    <w:p w:rsidR="00B15CA7" w:rsidRPr="00B15CA7" w:rsidRDefault="00B15CA7" w:rsidP="00B15CA7">
      <w:pPr>
        <w:autoSpaceDE w:val="0"/>
        <w:autoSpaceDN w:val="0"/>
        <w:adjustRightInd w:val="0"/>
        <w:jc w:val="center"/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</w:pPr>
      <w:r w:rsidRPr="00B15CA7"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  <w:t>W.R. Wiley Environmental Molecular Sciences Laboratory</w:t>
      </w:r>
    </w:p>
    <w:p w:rsidR="00B15CA7" w:rsidRPr="00B15CA7" w:rsidRDefault="00B15CA7" w:rsidP="00B15CA7">
      <w:pPr>
        <w:autoSpaceDE w:val="0"/>
        <w:autoSpaceDN w:val="0"/>
        <w:adjustRightInd w:val="0"/>
        <w:jc w:val="center"/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</w:pPr>
      <w:r w:rsidRPr="00B15CA7"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  <w:t>Pacific Northwest National Laboratory</w:t>
      </w:r>
    </w:p>
    <w:p w:rsidR="00B15CA7" w:rsidRPr="00B15CA7" w:rsidRDefault="00B15CA7" w:rsidP="00B15CA7">
      <w:pPr>
        <w:autoSpaceDE w:val="0"/>
        <w:autoSpaceDN w:val="0"/>
        <w:adjustRightInd w:val="0"/>
        <w:jc w:val="center"/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</w:pPr>
      <w:r w:rsidRPr="00B15CA7"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  <w:t>Richland, Washington, 99352</w:t>
      </w:r>
    </w:p>
    <w:p w:rsidR="00B15CA7" w:rsidRPr="00B15CA7" w:rsidRDefault="00B15CA7" w:rsidP="00B15CA7">
      <w:pPr>
        <w:autoSpaceDE w:val="0"/>
        <w:autoSpaceDN w:val="0"/>
        <w:adjustRightInd w:val="0"/>
        <w:jc w:val="center"/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</w:pPr>
      <w:r w:rsidRPr="00B15CA7">
        <w:rPr>
          <w:rFonts w:ascii="TimesNewRomanPS-ItalicMT" w:eastAsiaTheme="minorHAnsi" w:hAnsi="TimesNewRomanPS-ItalicMT" w:cs="TimesNewRomanPS-ItalicMT"/>
          <w:i/>
          <w:iCs/>
          <w:color w:val="000000"/>
          <w:szCs w:val="22"/>
        </w:rPr>
        <w:t xml:space="preserve">Email: </w:t>
      </w:r>
      <w:hyperlink r:id="rId7" w:history="1">
        <w:r w:rsidRPr="00B15CA7">
          <w:rPr>
            <w:rStyle w:val="Hyperlink"/>
            <w:rFonts w:ascii="TimesNewRomanPS-ItalicMT" w:eastAsiaTheme="minorHAnsi" w:hAnsi="TimesNewRomanPS-ItalicMT" w:cs="TimesNewRomanPS-ItalicMT"/>
            <w:i/>
            <w:iCs/>
            <w:szCs w:val="22"/>
          </w:rPr>
          <w:t>ping.yang@pnnl.gov</w:t>
        </w:r>
      </w:hyperlink>
    </w:p>
    <w:p w:rsidR="00B15CA7" w:rsidRDefault="00B15CA7" w:rsidP="00B15CA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</w:rPr>
      </w:pPr>
    </w:p>
    <w:p w:rsidR="00B15CA7" w:rsidRPr="00902971" w:rsidRDefault="00B15CA7" w:rsidP="00B15CA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  <w:r w:rsidRPr="00902971">
        <w:rPr>
          <w:rFonts w:asciiTheme="minorHAnsi" w:eastAsiaTheme="minorHAnsi" w:hAnsiTheme="minorHAnsi" w:cstheme="minorHAnsi"/>
          <w:b/>
          <w:bCs/>
          <w:color w:val="000000"/>
        </w:rPr>
        <w:t>Abstract:</w:t>
      </w:r>
    </w:p>
    <w:p w:rsidR="00B15CA7" w:rsidRPr="00902971" w:rsidRDefault="00B15CA7" w:rsidP="0090297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902971">
        <w:rPr>
          <w:rFonts w:asciiTheme="minorHAnsi" w:eastAsiaTheme="minorHAnsi" w:hAnsiTheme="minorHAnsi" w:cstheme="minorHAnsi"/>
          <w:color w:val="000000"/>
        </w:rPr>
        <w:t>Density Functional Theory-based approaches are highly successful at characterizing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chemical properties, such as thermodynamics, bonding interactions, and chemical reactivity,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and are a good complement to modern experimental spectroscopic techniques. In this talk, I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will present recent progress in quantum chemical computations applied to heavy element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chemistry and transition-metal catalysis for sustainable energy and show how the synergy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between theory and experiment has greatly accelerated progress in these fields. I will first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demonstrate the predictive capability of DFT for coordination modes and affinity of ligands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composed of multiple competitive binding sites to actinide centers. Such ligand can help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address environmental and health concerns associated with actinides. The theoretical results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are validated by spectroscopic characterizations. Next, I will illustrate that the combination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of electronic structure theory and NMR/EPR provides critical insights into the structure</w:t>
      </w:r>
      <w:r w:rsidR="00902971" w:rsidRPr="00902971">
        <w:rPr>
          <w:rFonts w:asciiTheme="minorHAnsi" w:eastAsiaTheme="minorHAnsi" w:hAnsiTheme="minorHAnsi" w:cstheme="minorHAnsi"/>
          <w:color w:val="000000"/>
        </w:rPr>
        <w:t>-</w:t>
      </w:r>
      <w:r w:rsidRPr="00902971">
        <w:rPr>
          <w:rFonts w:asciiTheme="minorHAnsi" w:eastAsiaTheme="minorHAnsi" w:hAnsiTheme="minorHAnsi" w:cstheme="minorHAnsi"/>
          <w:color w:val="000000"/>
        </w:rPr>
        <w:t>function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relationship of molecular catalytic systems. A detailed molecular-level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understanding of the energetic and mechanistic factors controlling chemistry opens the door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to computer-aided optimization of chelating ligands for separation sciences, molecular</w:t>
      </w:r>
      <w:r w:rsidRPr="00902971">
        <w:rPr>
          <w:rFonts w:asciiTheme="minorHAnsi" w:eastAsiaTheme="minorHAnsi" w:hAnsiTheme="minorHAnsi" w:cstheme="minorHAnsi"/>
          <w:color w:val="000000"/>
        </w:rPr>
        <w:t xml:space="preserve"> </w:t>
      </w:r>
      <w:r w:rsidRPr="00902971">
        <w:rPr>
          <w:rFonts w:asciiTheme="minorHAnsi" w:eastAsiaTheme="minorHAnsi" w:hAnsiTheme="minorHAnsi" w:cstheme="minorHAnsi"/>
          <w:color w:val="000000"/>
        </w:rPr>
        <w:t>catalysts, and nanomaterials.</w:t>
      </w:r>
    </w:p>
    <w:p w:rsidR="00B15CA7" w:rsidRPr="00902971" w:rsidRDefault="00B15CA7" w:rsidP="00B15CA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B15CA7" w:rsidRPr="00902971" w:rsidRDefault="00B15CA7" w:rsidP="00B15CA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  <w:r w:rsidRPr="00902971">
        <w:rPr>
          <w:rFonts w:asciiTheme="minorHAnsi" w:eastAsiaTheme="minorHAnsi" w:hAnsiTheme="minorHAnsi" w:cstheme="minorHAnsi"/>
          <w:b/>
          <w:bCs/>
          <w:color w:val="000000"/>
        </w:rPr>
        <w:t>Short Bio:</w:t>
      </w:r>
    </w:p>
    <w:p w:rsidR="000A10D0" w:rsidRPr="00902971" w:rsidRDefault="00B15CA7" w:rsidP="009029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6"/>
        </w:rPr>
      </w:pPr>
      <w:r w:rsidRPr="00902971">
        <w:rPr>
          <w:rFonts w:asciiTheme="minorHAnsi" w:eastAsiaTheme="minorHAnsi" w:hAnsiTheme="minorHAnsi" w:cstheme="minorHAnsi"/>
          <w:color w:val="1A1A1A"/>
        </w:rPr>
        <w:t>Dr. Yang is a Senior Research Scientist in the Molecular Science Computing group of the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 </w:t>
      </w:r>
      <w:r w:rsidRPr="00902971">
        <w:rPr>
          <w:rFonts w:asciiTheme="minorHAnsi" w:eastAsiaTheme="minorHAnsi" w:hAnsiTheme="minorHAnsi" w:cstheme="minorHAnsi"/>
          <w:color w:val="1A1A1A"/>
        </w:rPr>
        <w:t>Environmental Molecular Sciences Laboratory (EMSL) at Pacific Northwest National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 </w:t>
      </w:r>
      <w:r w:rsidRPr="00902971">
        <w:rPr>
          <w:rFonts w:asciiTheme="minorHAnsi" w:eastAsiaTheme="minorHAnsi" w:hAnsiTheme="minorHAnsi" w:cstheme="minorHAnsi"/>
          <w:color w:val="1A1A1A"/>
        </w:rPr>
        <w:t>Laboratory. Her research interests lie in application-driven computational chemistry in the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 </w:t>
      </w:r>
      <w:r w:rsidRPr="00902971">
        <w:rPr>
          <w:rFonts w:asciiTheme="minorHAnsi" w:eastAsiaTheme="minorHAnsi" w:hAnsiTheme="minorHAnsi" w:cstheme="minorHAnsi"/>
          <w:color w:val="1A1A1A"/>
        </w:rPr>
        <w:t>area of energy conversion materials and nano-materials containing heavy elements and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 </w:t>
      </w:r>
      <w:r w:rsidRPr="00902971">
        <w:rPr>
          <w:rFonts w:asciiTheme="minorHAnsi" w:eastAsiaTheme="minorHAnsi" w:hAnsiTheme="minorHAnsi" w:cstheme="minorHAnsi"/>
          <w:color w:val="1A1A1A"/>
        </w:rPr>
        <w:t>transition metals. Prior to joining Pacific Northwest National Laboratory in 2008, Dr. Yang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 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obtained a </w:t>
      </w:r>
      <w:r w:rsidR="00902971" w:rsidRPr="00902971">
        <w:rPr>
          <w:rFonts w:asciiTheme="minorHAnsi" w:eastAsiaTheme="minorHAnsi" w:hAnsiTheme="minorHAnsi" w:cstheme="minorHAnsi"/>
          <w:color w:val="1A1A1A"/>
        </w:rPr>
        <w:t>Ph.D.</w:t>
      </w:r>
      <w:r w:rsidRPr="00902971">
        <w:rPr>
          <w:rFonts w:asciiTheme="minorHAnsi" w:eastAsiaTheme="minorHAnsi" w:hAnsiTheme="minorHAnsi" w:cstheme="minorHAnsi"/>
          <w:color w:val="1A1A1A"/>
        </w:rPr>
        <w:t xml:space="preserve"> in Chemistry and an MS in Computer Science from Michigan Technological</w:t>
      </w:r>
    </w:p>
    <w:sectPr w:rsidR="000A10D0" w:rsidRPr="00902971" w:rsidSect="00CD0E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35F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80"/>
    <w:rsid w:val="0005493E"/>
    <w:rsid w:val="00067AF1"/>
    <w:rsid w:val="000A10D0"/>
    <w:rsid w:val="0021245C"/>
    <w:rsid w:val="003D323A"/>
    <w:rsid w:val="00444EEA"/>
    <w:rsid w:val="0049520C"/>
    <w:rsid w:val="0076045E"/>
    <w:rsid w:val="008E777A"/>
    <w:rsid w:val="00902971"/>
    <w:rsid w:val="00913755"/>
    <w:rsid w:val="00921D37"/>
    <w:rsid w:val="00933BEA"/>
    <w:rsid w:val="00A83C2A"/>
    <w:rsid w:val="00AE7780"/>
    <w:rsid w:val="00B15CA7"/>
    <w:rsid w:val="00B93E00"/>
    <w:rsid w:val="00C23C68"/>
    <w:rsid w:val="00CD0EE4"/>
    <w:rsid w:val="00D240E7"/>
    <w:rsid w:val="00EF0983"/>
    <w:rsid w:val="00F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778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15C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778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15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ng.yang@pnnl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2503-B524-45A3-AC07-75446877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8716D016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Ragland, Marion U</dc:creator>
  <cp:lastModifiedBy>Ragland, Marion U</cp:lastModifiedBy>
  <cp:revision>3</cp:revision>
  <cp:lastPrinted>2013-07-12T16:23:00Z</cp:lastPrinted>
  <dcterms:created xsi:type="dcterms:W3CDTF">2014-06-30T12:59:00Z</dcterms:created>
  <dcterms:modified xsi:type="dcterms:W3CDTF">2014-06-30T13:00:00Z</dcterms:modified>
</cp:coreProperties>
</file>