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16" w:rsidRPr="000D7D16" w:rsidRDefault="00D106DB" w:rsidP="00D106DB">
      <w:pPr>
        <w:ind w:left="-990"/>
        <w:rPr>
          <w:b/>
          <w:noProof/>
          <w:sz w:val="12"/>
          <w:szCs w:val="12"/>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2552700</wp:posOffset>
                </wp:positionH>
                <wp:positionV relativeFrom="paragraph">
                  <wp:posOffset>-174625</wp:posOffset>
                </wp:positionV>
                <wp:extent cx="5019675" cy="819150"/>
                <wp:effectExtent l="0" t="0" r="0" b="0"/>
                <wp:wrapNone/>
                <wp:docPr id="10" name="Rectangle 9"/>
                <wp:cNvGraphicFramePr/>
                <a:graphic xmlns:a="http://schemas.openxmlformats.org/drawingml/2006/main">
                  <a:graphicData uri="http://schemas.microsoft.com/office/word/2010/wordprocessingShape">
                    <wps:wsp>
                      <wps:cNvSpPr/>
                      <wps:spPr>
                        <a:xfrm>
                          <a:off x="0" y="0"/>
                          <a:ext cx="5019675" cy="819150"/>
                        </a:xfrm>
                        <a:prstGeom prst="rect">
                          <a:avLst/>
                        </a:prstGeom>
                      </wps:spPr>
                      <wps:txbx>
                        <w:txbxContent>
                          <w:p w:rsidR="00D106DB" w:rsidRPr="00D106DB" w:rsidRDefault="00D106DB" w:rsidP="00D106DB">
                            <w:pPr>
                              <w:spacing w:after="0" w:line="240" w:lineRule="auto"/>
                              <w:jc w:val="center"/>
                              <w:rPr>
                                <w:b/>
                                <w:sz w:val="28"/>
                                <w:szCs w:val="28"/>
                              </w:rPr>
                            </w:pPr>
                            <w:r w:rsidRPr="00D106DB">
                              <w:rPr>
                                <w:b/>
                                <w:sz w:val="28"/>
                                <w:szCs w:val="28"/>
                              </w:rPr>
                              <w:t xml:space="preserve">Mark A. </w:t>
                            </w:r>
                            <w:proofErr w:type="spellStart"/>
                            <w:r w:rsidRPr="00D106DB">
                              <w:rPr>
                                <w:b/>
                                <w:sz w:val="28"/>
                                <w:szCs w:val="28"/>
                              </w:rPr>
                              <w:t>Tschopp</w:t>
                            </w:r>
                            <w:proofErr w:type="spellEnd"/>
                          </w:p>
                          <w:p w:rsidR="00D106DB" w:rsidRPr="009A20CD" w:rsidRDefault="00D106DB" w:rsidP="00D106DB">
                            <w:pPr>
                              <w:spacing w:after="0" w:line="240" w:lineRule="auto"/>
                              <w:jc w:val="center"/>
                              <w:rPr>
                                <w:i/>
                                <w:sz w:val="28"/>
                                <w:szCs w:val="28"/>
                              </w:rPr>
                            </w:pPr>
                            <w:r w:rsidRPr="009A20CD">
                              <w:rPr>
                                <w:i/>
                                <w:sz w:val="28"/>
                                <w:szCs w:val="28"/>
                              </w:rPr>
                              <w:t>Regional Lead, ARL Central</w:t>
                            </w:r>
                          </w:p>
                          <w:p w:rsidR="00D106DB" w:rsidRPr="009A20CD" w:rsidRDefault="00D106DB" w:rsidP="00D106DB">
                            <w:pPr>
                              <w:spacing w:after="0" w:line="240" w:lineRule="auto"/>
                              <w:jc w:val="center"/>
                              <w:rPr>
                                <w:i/>
                                <w:sz w:val="28"/>
                                <w:szCs w:val="28"/>
                              </w:rPr>
                            </w:pPr>
                            <w:r w:rsidRPr="009A20CD">
                              <w:rPr>
                                <w:i/>
                                <w:sz w:val="28"/>
                                <w:szCs w:val="28"/>
                              </w:rPr>
                              <w:t>Army Research Laboratory (ARL)</w:t>
                            </w:r>
                          </w:p>
                          <w:p w:rsidR="00D106DB" w:rsidRPr="00E24F08" w:rsidRDefault="00D106DB" w:rsidP="005C0E3A">
                            <w:pPr>
                              <w:spacing w:after="0" w:line="240" w:lineRule="auto"/>
                              <w:jc w:val="center"/>
                              <w:rPr>
                                <w:b/>
                                <w:sz w:val="26"/>
                                <w:szCs w:val="2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201pt;margin-top:-13.75pt;width:395.25pt;height:64.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" filled="f" stroked="f">
                <v:textbox>
                  <w:txbxContent>
                    <w:p w:rsidR="00D106DB" w:rsidRPr="00D106DB" w:rsidRDefault="00D106DB" w:rsidP="00D106DB">
                      <w:pPr>
                        <w:spacing w:after="0" w:line="240" w:lineRule="auto"/>
                        <w:jc w:val="center"/>
                        <w:rPr>
                          <w:b/>
                          <w:sz w:val="28"/>
                          <w:szCs w:val="28"/>
                        </w:rPr>
                      </w:pPr>
                      <w:r w:rsidRPr="00D106DB">
                        <w:rPr>
                          <w:b/>
                          <w:sz w:val="28"/>
                          <w:szCs w:val="28"/>
                        </w:rPr>
                        <w:t xml:space="preserve">Mark A. </w:t>
                      </w:r>
                      <w:proofErr w:type="spellStart"/>
                      <w:r w:rsidRPr="00D106DB">
                        <w:rPr>
                          <w:b/>
                          <w:sz w:val="28"/>
                          <w:szCs w:val="28"/>
                        </w:rPr>
                        <w:t>Tschopp</w:t>
                      </w:r>
                      <w:proofErr w:type="spellEnd"/>
                    </w:p>
                    <w:p w:rsidR="00D106DB" w:rsidRPr="009A20CD" w:rsidRDefault="00D106DB" w:rsidP="00D106DB">
                      <w:pPr>
                        <w:spacing w:after="0" w:line="240" w:lineRule="auto"/>
                        <w:jc w:val="center"/>
                        <w:rPr>
                          <w:i/>
                          <w:sz w:val="28"/>
                          <w:szCs w:val="28"/>
                        </w:rPr>
                      </w:pPr>
                      <w:r w:rsidRPr="009A20CD">
                        <w:rPr>
                          <w:i/>
                          <w:sz w:val="28"/>
                          <w:szCs w:val="28"/>
                        </w:rPr>
                        <w:t>Regional Lead, ARL Central</w:t>
                      </w:r>
                    </w:p>
                    <w:p w:rsidR="00D106DB" w:rsidRPr="009A20CD" w:rsidRDefault="00D106DB" w:rsidP="00D106DB">
                      <w:pPr>
                        <w:spacing w:after="0" w:line="240" w:lineRule="auto"/>
                        <w:jc w:val="center"/>
                        <w:rPr>
                          <w:i/>
                          <w:sz w:val="28"/>
                          <w:szCs w:val="28"/>
                        </w:rPr>
                      </w:pPr>
                      <w:r w:rsidRPr="009A20CD">
                        <w:rPr>
                          <w:i/>
                          <w:sz w:val="28"/>
                          <w:szCs w:val="28"/>
                        </w:rPr>
                        <w:t>Army Research Laboratory (ARL)</w:t>
                      </w:r>
                    </w:p>
                    <w:p w:rsidR="00D106DB" w:rsidRPr="00E24F08" w:rsidRDefault="00D106DB" w:rsidP="005C0E3A">
                      <w:pPr>
                        <w:spacing w:after="0" w:line="240" w:lineRule="auto"/>
                        <w:jc w:val="center"/>
                        <w:rPr>
                          <w:b/>
                          <w:sz w:val="26"/>
                          <w:szCs w:val="26"/>
                        </w:rPr>
                      </w:pPr>
                    </w:p>
                  </w:txbxContent>
                </v:textbox>
                <w10:wrap anchorx="page"/>
              </v:rect>
            </w:pict>
          </mc:Fallback>
        </mc:AlternateContent>
      </w:r>
    </w:p>
    <w:p w:rsidR="00774432" w:rsidRPr="00FB5DAD" w:rsidRDefault="00D106DB" w:rsidP="00B72FA9">
      <w:pPr>
        <w:ind w:left="-1170"/>
        <w:rPr>
          <w:b/>
        </w:rPr>
      </w:pP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2276475</wp:posOffset>
                </wp:positionH>
                <wp:positionV relativeFrom="paragraph">
                  <wp:posOffset>423546</wp:posOffset>
                </wp:positionV>
                <wp:extent cx="5371465" cy="8305800"/>
                <wp:effectExtent l="0" t="0" r="0" b="0"/>
                <wp:wrapNone/>
                <wp:docPr id="4" name="TextBox 3"/>
                <wp:cNvGraphicFramePr/>
                <a:graphic xmlns:a="http://schemas.openxmlformats.org/drawingml/2006/main">
                  <a:graphicData uri="http://schemas.microsoft.com/office/word/2010/wordprocessingShape">
                    <wps:wsp>
                      <wps:cNvSpPr txBox="1"/>
                      <wps:spPr>
                        <a:xfrm>
                          <a:off x="0" y="0"/>
                          <a:ext cx="5371465" cy="8305800"/>
                        </a:xfrm>
                        <a:prstGeom prst="rect">
                          <a:avLst/>
                        </a:prstGeom>
                        <a:noFill/>
                      </wps:spPr>
                      <wps:txbx>
                        <w:txbxContent>
                          <w:p w:rsidR="00D106DB" w:rsidRPr="00D106DB" w:rsidRDefault="00D106DB" w:rsidP="00D106DB">
                            <w:pPr>
                              <w:pStyle w:val="Title"/>
                              <w:spacing w:line="320" w:lineRule="exact"/>
                              <w:rPr>
                                <w:rFonts w:asciiTheme="minorHAnsi" w:hAnsiTheme="minorHAnsi"/>
                                <w:sz w:val="22"/>
                                <w:szCs w:val="22"/>
                              </w:rPr>
                            </w:pPr>
                            <w:r w:rsidRPr="00D106DB">
                              <w:rPr>
                                <w:rFonts w:asciiTheme="minorHAnsi" w:hAnsiTheme="minorHAnsi"/>
                                <w:bCs w:val="0"/>
                                <w:sz w:val="28"/>
                              </w:rPr>
                              <w:t>ARL Central, Polycrystalline Materials by Design, and other Short Stories</w:t>
                            </w:r>
                          </w:p>
                          <w:p w:rsidR="00D106DB" w:rsidRPr="00D106DB" w:rsidRDefault="00D106DB" w:rsidP="00B72FA9">
                            <w:pPr>
                              <w:pStyle w:val="paragraph"/>
                              <w:jc w:val="both"/>
                              <w:textAlignment w:val="baseline"/>
                              <w:rPr>
                                <w:rFonts w:asciiTheme="minorHAnsi" w:hAnsiTheme="minorHAnsi" w:cstheme="minorHAnsi"/>
                                <w:b/>
                                <w:sz w:val="22"/>
                                <w:szCs w:val="22"/>
                              </w:rPr>
                            </w:pPr>
                            <w:r w:rsidRPr="00D106DB">
                              <w:rPr>
                                <w:rStyle w:val="normaltextrun1"/>
                                <w:rFonts w:asciiTheme="minorHAnsi" w:hAnsiTheme="minorHAnsi" w:cstheme="minorHAnsi"/>
                                <w:b/>
                                <w:color w:val="000000"/>
                                <w:sz w:val="22"/>
                                <w:szCs w:val="22"/>
                              </w:rPr>
                              <w:t>Abstract</w:t>
                            </w:r>
                          </w:p>
                          <w:p w:rsidR="00D106DB" w:rsidRPr="00D106DB" w:rsidRDefault="00D106DB" w:rsidP="00D106DB">
                            <w:pPr>
                              <w:spacing w:after="120" w:line="240" w:lineRule="auto"/>
                              <w:jc w:val="both"/>
                              <w:rPr>
                                <w:rFonts w:eastAsia="Times New Roman"/>
                                <w:color w:val="231F20"/>
                              </w:rPr>
                            </w:pPr>
                            <w:r w:rsidRPr="00D106DB">
                              <w:rPr>
                                <w:color w:val="000000"/>
                              </w:rPr>
                              <w:tab/>
                            </w:r>
                            <w:r w:rsidRPr="00D106DB">
                              <w:rPr>
                                <w:rFonts w:eastAsia="Times New Roman"/>
                                <w:color w:val="231F20"/>
                              </w:rPr>
                              <w:t xml:space="preserve">This talk will briefly discuss the US Army Research Laboratory and its recent venture into the greater Chicago region, termed ARL Central. ARL Central </w:t>
                            </w:r>
                            <w:proofErr w:type="gramStart"/>
                            <w:r w:rsidRPr="00D106DB">
                              <w:rPr>
                                <w:rFonts w:eastAsia="Times New Roman"/>
                                <w:color w:val="231F20"/>
                              </w:rPr>
                              <w:t>is designed</w:t>
                            </w:r>
                            <w:proofErr w:type="gramEnd"/>
                            <w:r w:rsidRPr="00D106DB">
                              <w:rPr>
                                <w:rFonts w:eastAsia="Times New Roman"/>
                                <w:color w:val="231F20"/>
                              </w:rPr>
                              <w:t xml:space="preserve"> to work with partners to jointly solve the Army’s future technology needs by plugging into the talented Midwest ecosystem. Then, on to research…</w:t>
                            </w:r>
                          </w:p>
                          <w:p w:rsidR="00D106DB" w:rsidRPr="00D106DB" w:rsidRDefault="00D106DB" w:rsidP="00D106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spacing w:line="280" w:lineRule="exact"/>
                              <w:jc w:val="both"/>
                              <w:rPr>
                                <w:rFonts w:eastAsia="Times New Roman"/>
                                <w:color w:val="231F20"/>
                              </w:rPr>
                            </w:pPr>
                            <w:r w:rsidRPr="00D106DB">
                              <w:rPr>
                                <w:rFonts w:eastAsia="Times New Roman"/>
                                <w:color w:val="231F20"/>
                              </w:rPr>
                              <w:t xml:space="preserve">Grain boundaries and interfaces play a commanding role in the bulk properties of polycrystalline materials, interacting with dislocations and/or cracks, absorbing defects and solute atoms, and moving with stress and/or temperature.  </w:t>
                            </w:r>
                            <w:proofErr w:type="gramStart"/>
                            <w:r w:rsidRPr="00D106DB">
                              <w:rPr>
                                <w:rFonts w:eastAsia="Times New Roman"/>
                                <w:color w:val="231F20"/>
                              </w:rPr>
                              <w:t>Suffice it to say that understanding</w:t>
                            </w:r>
                            <w:proofErr w:type="gramEnd"/>
                            <w:r w:rsidRPr="00D106DB">
                              <w:rPr>
                                <w:rFonts w:eastAsia="Times New Roman"/>
                                <w:color w:val="231F20"/>
                              </w:rPr>
                              <w:t xml:space="preserve"> the structure-property relationships of grain boundaries and interfaces in metals and ceramics is critical to designing material systems for improved properties and performance.  This presentation will introduce the different kinds of grain boundaries and interfaces in metals/ceramics and discuss some recent research thrusts to understand grain boundary/interfacial behavior, to model these grain boundaries/interfaces, and </w:t>
                            </w:r>
                            <w:proofErr w:type="gramStart"/>
                            <w:r w:rsidRPr="00D106DB">
                              <w:rPr>
                                <w:rFonts w:eastAsia="Times New Roman"/>
                                <w:color w:val="231F20"/>
                              </w:rPr>
                              <w:t>to experimentally tailor</w:t>
                            </w:r>
                            <w:proofErr w:type="gramEnd"/>
                            <w:r w:rsidRPr="00D106DB">
                              <w:rPr>
                                <w:rFonts w:eastAsia="Times New Roman"/>
                                <w:color w:val="231F20"/>
                              </w:rPr>
                              <w:t xml:space="preserve"> these grain boundaries/interfaces for real material systems.  The understanding of interfaces, in particular the structure-property relationships, is a key component of the “Materials-By-Design” thrust – a concept related to national initiatives to develop integrated computational material models that aim to link chemistry and processing all the way to performance, with everything in between.  The ability to model these interfaces can provide insight into material behavior at multiple scales.  </w:t>
                            </w:r>
                            <w:proofErr w:type="gramStart"/>
                            <w:r w:rsidRPr="00D106DB">
                              <w:rPr>
                                <w:rFonts w:eastAsia="Times New Roman"/>
                                <w:color w:val="231F20"/>
                              </w:rPr>
                              <w:t>This talk will focus on the many efforts to understand, model, and engineer grain boundaries in polycrystalline metals and ceramics, to include efforts (1) to sample how properties are influenced by grain boundary character, (2) to develop methods to obtain grain boundaries in simple (cubic) and complex systems, (3) to understand how grain boundary structure interacts with dislocations, point defects, solutes, and impurities, (4) to mathematically describe how shear (twinning dislocations) and shuffles impact twinning in HCP metals, (5) to engineer the thermal stability of nanocrystalline alloys via solute additions, (6) to radically improve the properties of bulk nanocrystalline parts by dispersing nanosized precipitates, and (7) to navigate the complexity in modeling grain boundaries in lightweight armor ceramics such as boron carbide.</w:t>
                            </w:r>
                            <w:proofErr w:type="gramEnd"/>
                            <w:r w:rsidRPr="00D106DB">
                              <w:rPr>
                                <w:rFonts w:eastAsia="Times New Roman"/>
                                <w:color w:val="231F20"/>
                              </w:rPr>
                              <w:t xml:space="preserve">  </w:t>
                            </w:r>
                            <w:proofErr w:type="gramStart"/>
                            <w:r w:rsidRPr="00D106DB">
                              <w:rPr>
                                <w:rFonts w:eastAsia="Times New Roman"/>
                                <w:color w:val="231F20"/>
                              </w:rPr>
                              <w:t>Or</w:t>
                            </w:r>
                            <w:proofErr w:type="gramEnd"/>
                            <w:r w:rsidRPr="00D106DB">
                              <w:rPr>
                                <w:rFonts w:eastAsia="Times New Roman"/>
                                <w:color w:val="231F20"/>
                              </w:rPr>
                              <w:t>, perhaps I’ll just talk about a few of these topics.</w:t>
                            </w:r>
                          </w:p>
                          <w:p w:rsidR="00D106DB" w:rsidRPr="00D106DB" w:rsidRDefault="00D106DB" w:rsidP="00D106DB">
                            <w:pPr>
                              <w:shd w:val="clear" w:color="auto" w:fill="FFFFFF"/>
                              <w:spacing w:line="240" w:lineRule="auto"/>
                              <w:rPr>
                                <w:b/>
                              </w:rPr>
                            </w:pPr>
                            <w:r w:rsidRPr="00D106DB">
                              <w:rPr>
                                <w:b/>
                              </w:rPr>
                              <w:t>Biography</w:t>
                            </w:r>
                          </w:p>
                          <w:p w:rsidR="00D106DB" w:rsidRPr="00D106DB" w:rsidRDefault="00D106DB" w:rsidP="00D106DB">
                            <w:pPr>
                              <w:shd w:val="clear" w:color="auto" w:fill="FFFFFF"/>
                              <w:spacing w:line="240" w:lineRule="auto"/>
                            </w:pPr>
                            <w:r w:rsidRPr="00D106DB">
                              <w:t xml:space="preserve">  Dr. Mark A. </w:t>
                            </w:r>
                            <w:proofErr w:type="spellStart"/>
                            <w:r w:rsidRPr="00D106DB">
                              <w:t>Tschopp</w:t>
                            </w:r>
                            <w:proofErr w:type="spellEnd"/>
                            <w:r w:rsidRPr="00D106DB">
                              <w:t xml:space="preserve"> is the Regional Lead for ARL Central, an extended regional campus of the US Army Research Laboratory in the greater Chicago region (including Purdue). </w:t>
                            </w:r>
                            <w:proofErr w:type="gramStart"/>
                            <w:r w:rsidRPr="00D106DB">
                              <w:t>He obtained his Ph.D. degree in materials science and engineering from the Georgia Institute of Technology and has spent over 6 years at ARL, 4 years in casting R&amp;D at GM Powertrain, 2 years in the Life Prediction and Behavior group (Metals branch) at the Air Force Research Laboratory, and 4 years at Mississippi State University.</w:t>
                            </w:r>
                            <w:proofErr w:type="gramEnd"/>
                            <w:r w:rsidRPr="00D106DB">
                              <w:t xml:space="preserve">  He has published over 160 journal papers, book chapters, conference papers, and technical reports with around 3100 citations for the 100 peer reviewed journal papers in materials science, mechanics, computational science, and design (Google Scholar, h-factor of 32).  At present, he has presented over 130 presentations and seminars at national and international conferences, including giving over 100 invited talks/seminars.  ASM International recently selected Dr. </w:t>
                            </w:r>
                            <w:proofErr w:type="spellStart"/>
                            <w:r w:rsidRPr="00D106DB">
                              <w:t>Tschopp</w:t>
                            </w:r>
                            <w:proofErr w:type="spellEnd"/>
                            <w:r w:rsidRPr="00D106DB">
                              <w:t xml:space="preserve"> for the ASM Silver Medal Award, given to </w:t>
                            </w:r>
                            <w:proofErr w:type="gramStart"/>
                            <w:r w:rsidRPr="00D106DB">
                              <w:t>1</w:t>
                            </w:r>
                            <w:proofErr w:type="gramEnd"/>
                            <w:r w:rsidRPr="00D106DB">
                              <w:t xml:space="preserve"> recipient each year, presented at MS&amp;T 2016 for “distinguished and sustained contributions in computational materials science, solid mechanics, processing-structure-property relationships, materials design for integrated computational materials engineering, and for service to ASM International.”  He is a Fellow of ASME (2017) and a Fellow of ASM (2018).    </w:t>
                            </w:r>
                          </w:p>
                          <w:p w:rsidR="00D106DB" w:rsidRPr="00D106DB" w:rsidRDefault="00D106DB" w:rsidP="00D106DB">
                            <w:pPr>
                              <w:spacing w:line="240" w:lineRule="auto"/>
                              <w:jc w:val="both"/>
                            </w:pPr>
                            <w:r w:rsidRPr="00D106DB">
                              <w:t>(</w:t>
                            </w:r>
                            <w:hyperlink r:id="rId6" w:history="1">
                              <w:r w:rsidRPr="00D106DB">
                                <w:rPr>
                                  <w:rStyle w:val="Hyperlink"/>
                                </w:rPr>
                                <w:t>Google Scholar Link</w:t>
                              </w:r>
                            </w:hyperlink>
                            <w:r w:rsidRPr="00D106DB">
                              <w:t xml:space="preserve">, </w:t>
                            </w:r>
                            <w:hyperlink r:id="rId7" w:history="1">
                              <w:proofErr w:type="spellStart"/>
                              <w:r w:rsidRPr="00D106DB">
                                <w:rPr>
                                  <w:rStyle w:val="Hyperlink"/>
                                </w:rPr>
                                <w:t>ResearchGate</w:t>
                              </w:r>
                              <w:proofErr w:type="spellEnd"/>
                              <w:r w:rsidRPr="00D106DB">
                                <w:rPr>
                                  <w:rStyle w:val="Hyperlink"/>
                                </w:rPr>
                                <w:t xml:space="preserve"> Link</w:t>
                              </w:r>
                            </w:hyperlink>
                            <w:r w:rsidRPr="00D106DB">
                              <w:t>)</w:t>
                            </w:r>
                          </w:p>
                          <w:p w:rsidR="00D106DB" w:rsidRPr="00D106DB" w:rsidRDefault="00D106DB" w:rsidP="00D106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spacing w:line="280" w:lineRule="exact"/>
                              <w:jc w:val="both"/>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7" type="#_x0000_t202" style="position:absolute;left:0;text-align:left;margin-left:179.25pt;margin-top:33.35pt;width:422.95pt;height:65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" filled="f" stroked="f">
                <v:textbox>
                  <w:txbxContent>
                    <w:p w:rsidR="00D106DB" w:rsidRPr="00D106DB" w:rsidRDefault="00D106DB" w:rsidP="00D106DB">
                      <w:pPr>
                        <w:pStyle w:val="Title"/>
                        <w:spacing w:line="320" w:lineRule="exact"/>
                        <w:rPr>
                          <w:rFonts w:asciiTheme="minorHAnsi" w:hAnsiTheme="minorHAnsi"/>
                          <w:sz w:val="22"/>
                          <w:szCs w:val="22"/>
                        </w:rPr>
                      </w:pPr>
                      <w:r w:rsidRPr="00D106DB">
                        <w:rPr>
                          <w:rFonts w:asciiTheme="minorHAnsi" w:hAnsiTheme="minorHAnsi"/>
                          <w:bCs w:val="0"/>
                          <w:sz w:val="28"/>
                        </w:rPr>
                        <w:t>ARL Central, Polycrystalline Materials by Design, and other Short Stories</w:t>
                      </w:r>
                    </w:p>
                    <w:p w:rsidR="00D106DB" w:rsidRPr="00D106DB" w:rsidRDefault="00D106DB" w:rsidP="00B72FA9">
                      <w:pPr>
                        <w:pStyle w:val="paragraph"/>
                        <w:jc w:val="both"/>
                        <w:textAlignment w:val="baseline"/>
                        <w:rPr>
                          <w:rFonts w:asciiTheme="minorHAnsi" w:hAnsiTheme="minorHAnsi" w:cstheme="minorHAnsi"/>
                          <w:b/>
                          <w:sz w:val="22"/>
                          <w:szCs w:val="22"/>
                        </w:rPr>
                      </w:pPr>
                      <w:r w:rsidRPr="00D106DB">
                        <w:rPr>
                          <w:rStyle w:val="normaltextrun1"/>
                          <w:rFonts w:asciiTheme="minorHAnsi" w:hAnsiTheme="minorHAnsi" w:cstheme="minorHAnsi"/>
                          <w:b/>
                          <w:color w:val="000000"/>
                          <w:sz w:val="22"/>
                          <w:szCs w:val="22"/>
                        </w:rPr>
                        <w:t>Abstract</w:t>
                      </w:r>
                    </w:p>
                    <w:p w:rsidR="00D106DB" w:rsidRPr="00D106DB" w:rsidRDefault="00D106DB" w:rsidP="00D106DB">
                      <w:pPr>
                        <w:spacing w:after="120" w:line="240" w:lineRule="auto"/>
                        <w:jc w:val="both"/>
                        <w:rPr>
                          <w:rFonts w:eastAsia="Times New Roman"/>
                          <w:color w:val="231F20"/>
                        </w:rPr>
                      </w:pPr>
                      <w:r w:rsidRPr="00D106DB">
                        <w:rPr>
                          <w:color w:val="000000"/>
                        </w:rPr>
                        <w:tab/>
                      </w:r>
                      <w:r w:rsidRPr="00D106DB">
                        <w:rPr>
                          <w:rFonts w:eastAsia="Times New Roman"/>
                          <w:color w:val="231F20"/>
                        </w:rPr>
                        <w:t xml:space="preserve">This talk will briefly discuss the US Army Research Laboratory and its recent venture into the greater Chicago region, termed ARL Central. ARL Central </w:t>
                      </w:r>
                      <w:proofErr w:type="gramStart"/>
                      <w:r w:rsidRPr="00D106DB">
                        <w:rPr>
                          <w:rFonts w:eastAsia="Times New Roman"/>
                          <w:color w:val="231F20"/>
                        </w:rPr>
                        <w:t>is designed</w:t>
                      </w:r>
                      <w:proofErr w:type="gramEnd"/>
                      <w:r w:rsidRPr="00D106DB">
                        <w:rPr>
                          <w:rFonts w:eastAsia="Times New Roman"/>
                          <w:color w:val="231F20"/>
                        </w:rPr>
                        <w:t xml:space="preserve"> to work with partners to jointly solve the Army’s future technology needs by plugging into the talented Midwest ecosystem. Then, on to research…</w:t>
                      </w:r>
                    </w:p>
                    <w:p w:rsidR="00D106DB" w:rsidRPr="00D106DB" w:rsidRDefault="00D106DB" w:rsidP="00D106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spacing w:line="280" w:lineRule="exact"/>
                        <w:jc w:val="both"/>
                        <w:rPr>
                          <w:rFonts w:eastAsia="Times New Roman"/>
                          <w:color w:val="231F20"/>
                        </w:rPr>
                      </w:pPr>
                      <w:r w:rsidRPr="00D106DB">
                        <w:rPr>
                          <w:rFonts w:eastAsia="Times New Roman"/>
                          <w:color w:val="231F20"/>
                        </w:rPr>
                        <w:t xml:space="preserve">Grain boundaries and interfaces play a commanding role in the bulk properties of polycrystalline materials, interacting with dislocations and/or cracks, absorbing defects and solute atoms, and moving with stress and/or temperature.  </w:t>
                      </w:r>
                      <w:proofErr w:type="gramStart"/>
                      <w:r w:rsidRPr="00D106DB">
                        <w:rPr>
                          <w:rFonts w:eastAsia="Times New Roman"/>
                          <w:color w:val="231F20"/>
                        </w:rPr>
                        <w:t>Suffice it to say that understanding</w:t>
                      </w:r>
                      <w:proofErr w:type="gramEnd"/>
                      <w:r w:rsidRPr="00D106DB">
                        <w:rPr>
                          <w:rFonts w:eastAsia="Times New Roman"/>
                          <w:color w:val="231F20"/>
                        </w:rPr>
                        <w:t xml:space="preserve"> the structure-property relationships of grain boundaries and interfaces in metals and ceramics is critical to designing material systems for improved properties and performance.  This presentation will introduce the different kinds of grain boundaries and interfaces in metals/ceramics and discuss some recent research thrusts to understand grain boundary/interfacial behavior, to model these grain boundaries/interfaces, and </w:t>
                      </w:r>
                      <w:proofErr w:type="gramStart"/>
                      <w:r w:rsidRPr="00D106DB">
                        <w:rPr>
                          <w:rFonts w:eastAsia="Times New Roman"/>
                          <w:color w:val="231F20"/>
                        </w:rPr>
                        <w:t>to experimentally tailor</w:t>
                      </w:r>
                      <w:proofErr w:type="gramEnd"/>
                      <w:r w:rsidRPr="00D106DB">
                        <w:rPr>
                          <w:rFonts w:eastAsia="Times New Roman"/>
                          <w:color w:val="231F20"/>
                        </w:rPr>
                        <w:t xml:space="preserve"> these grain boundaries/interfaces for real material systems.  The understanding of interfaces, in particular the structure-property relationships, is a key component of the “Materials-By-Design” thrust – a concept related to national initiatives to develop integrated computational material models that aim to link chemistry and processing all the way to performance, with everything in between.  The ability to model these interfaces can provide insight into material behavior at multiple scales.  </w:t>
                      </w:r>
                      <w:proofErr w:type="gramStart"/>
                      <w:r w:rsidRPr="00D106DB">
                        <w:rPr>
                          <w:rFonts w:eastAsia="Times New Roman"/>
                          <w:color w:val="231F20"/>
                        </w:rPr>
                        <w:t>This talk will focus on the many efforts to understand, model, and engineer grain boundaries in polycrystalline metals and ceramics, to include efforts (1) to sample how properties are influenced by grain boundary character, (2) to develop methods to obtain grain boundaries in simple (cubic) and complex systems, (3) to understand how grain boundary structure interacts with dislocations, point defects, solutes, and impurities, (4) to mathematically describe how shear (twinning dislocations) and shuffles impact twinning in HCP metals, (5) to engineer the thermal stability of nanocrystalline alloys via solute additions, (6) to radically improve the properties of bulk nanocrystalline parts by dispersing nanosized precipitates, and (7) to navigate the complexity in modeling grain boundaries in lightweight armor ceramics such as boron carbide.</w:t>
                      </w:r>
                      <w:proofErr w:type="gramEnd"/>
                      <w:r w:rsidRPr="00D106DB">
                        <w:rPr>
                          <w:rFonts w:eastAsia="Times New Roman"/>
                          <w:color w:val="231F20"/>
                        </w:rPr>
                        <w:t xml:space="preserve">  </w:t>
                      </w:r>
                      <w:proofErr w:type="gramStart"/>
                      <w:r w:rsidRPr="00D106DB">
                        <w:rPr>
                          <w:rFonts w:eastAsia="Times New Roman"/>
                          <w:color w:val="231F20"/>
                        </w:rPr>
                        <w:t>Or</w:t>
                      </w:r>
                      <w:proofErr w:type="gramEnd"/>
                      <w:r w:rsidRPr="00D106DB">
                        <w:rPr>
                          <w:rFonts w:eastAsia="Times New Roman"/>
                          <w:color w:val="231F20"/>
                        </w:rPr>
                        <w:t>, perhaps I’ll just talk about a few of these topics.</w:t>
                      </w:r>
                    </w:p>
                    <w:p w:rsidR="00D106DB" w:rsidRPr="00D106DB" w:rsidRDefault="00D106DB" w:rsidP="00D106DB">
                      <w:pPr>
                        <w:shd w:val="clear" w:color="auto" w:fill="FFFFFF"/>
                        <w:spacing w:line="240" w:lineRule="auto"/>
                        <w:rPr>
                          <w:b/>
                        </w:rPr>
                      </w:pPr>
                      <w:r w:rsidRPr="00D106DB">
                        <w:rPr>
                          <w:b/>
                        </w:rPr>
                        <w:t>Biography</w:t>
                      </w:r>
                    </w:p>
                    <w:p w:rsidR="00D106DB" w:rsidRPr="00D106DB" w:rsidRDefault="00D106DB" w:rsidP="00D106DB">
                      <w:pPr>
                        <w:shd w:val="clear" w:color="auto" w:fill="FFFFFF"/>
                        <w:spacing w:line="240" w:lineRule="auto"/>
                      </w:pPr>
                      <w:r w:rsidRPr="00D106DB">
                        <w:t xml:space="preserve">  Dr. Mark A. </w:t>
                      </w:r>
                      <w:proofErr w:type="spellStart"/>
                      <w:r w:rsidRPr="00D106DB">
                        <w:t>Tschopp</w:t>
                      </w:r>
                      <w:proofErr w:type="spellEnd"/>
                      <w:r w:rsidRPr="00D106DB">
                        <w:t xml:space="preserve"> is the Regional Lead for ARL Central, an extended regional campus of the US Army Research Laboratory in the greater Chicago region (including Purdue). </w:t>
                      </w:r>
                      <w:proofErr w:type="gramStart"/>
                      <w:r w:rsidRPr="00D106DB">
                        <w:t>He obtained his Ph.D. degree in materials science and engineering from the Georgia Institute of Technology and has spent over 6 years at ARL, 4 years in casting R&amp;D at GM Powertrain, 2 years in the Life Prediction and Behavior group (Metals branch) at the Air Force Research Laboratory, and 4 years at Mississippi State University.</w:t>
                      </w:r>
                      <w:proofErr w:type="gramEnd"/>
                      <w:r w:rsidRPr="00D106DB">
                        <w:t xml:space="preserve">  He has published over 160 journal papers, book chapters, conference papers, and technical reports with around 3100 citations for the 100 peer reviewed journal papers in materials science, mechanics, computational science, and design (Google Scholar, h-factor of 32).  At present, he has presented over 130 presentations and seminars at national and international conferences, including giving over 100 invited talks/seminars.  ASM International recently selected Dr. </w:t>
                      </w:r>
                      <w:proofErr w:type="spellStart"/>
                      <w:r w:rsidRPr="00D106DB">
                        <w:t>Tschopp</w:t>
                      </w:r>
                      <w:proofErr w:type="spellEnd"/>
                      <w:r w:rsidRPr="00D106DB">
                        <w:t xml:space="preserve"> for the ASM Silver Medal Award, given to </w:t>
                      </w:r>
                      <w:proofErr w:type="gramStart"/>
                      <w:r w:rsidRPr="00D106DB">
                        <w:t>1</w:t>
                      </w:r>
                      <w:proofErr w:type="gramEnd"/>
                      <w:r w:rsidRPr="00D106DB">
                        <w:t xml:space="preserve"> recipient each year, presented at MS&amp;T 2016 for “distinguished and sustained contributions in computational materials science, solid mechanics, processing-structure-property relationships, materials design for integrated computational materials engineering, and for service to ASM International.”  He is a Fellow of ASME (2017) and a Fellow of ASM (2018).    </w:t>
                      </w:r>
                    </w:p>
                    <w:p w:rsidR="00D106DB" w:rsidRPr="00D106DB" w:rsidRDefault="00D106DB" w:rsidP="00D106DB">
                      <w:pPr>
                        <w:spacing w:line="240" w:lineRule="auto"/>
                        <w:jc w:val="both"/>
                      </w:pPr>
                      <w:r w:rsidRPr="00D106DB">
                        <w:t>(</w:t>
                      </w:r>
                      <w:hyperlink r:id="rId8" w:history="1">
                        <w:r w:rsidRPr="00D106DB">
                          <w:rPr>
                            <w:rStyle w:val="Hyperlink"/>
                          </w:rPr>
                          <w:t>Google Scholar Link</w:t>
                        </w:r>
                      </w:hyperlink>
                      <w:r w:rsidRPr="00D106DB">
                        <w:t xml:space="preserve">, </w:t>
                      </w:r>
                      <w:hyperlink r:id="rId9" w:history="1">
                        <w:proofErr w:type="spellStart"/>
                        <w:r w:rsidRPr="00D106DB">
                          <w:rPr>
                            <w:rStyle w:val="Hyperlink"/>
                          </w:rPr>
                          <w:t>ResearchGate</w:t>
                        </w:r>
                        <w:proofErr w:type="spellEnd"/>
                        <w:r w:rsidRPr="00D106DB">
                          <w:rPr>
                            <w:rStyle w:val="Hyperlink"/>
                          </w:rPr>
                          <w:t xml:space="preserve"> Link</w:t>
                        </w:r>
                      </w:hyperlink>
                      <w:r w:rsidRPr="00D106DB">
                        <w:t>)</w:t>
                      </w:r>
                    </w:p>
                    <w:p w:rsidR="00D106DB" w:rsidRPr="00D106DB" w:rsidRDefault="00D106DB" w:rsidP="00D106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spacing w:line="280" w:lineRule="exact"/>
                        <w:jc w:val="both"/>
                      </w:pPr>
                    </w:p>
                  </w:txbxContent>
                </v:textbox>
                <w10:wrap anchorx="page"/>
              </v:shape>
            </w:pict>
          </mc:Fallback>
        </mc:AlternateContent>
      </w:r>
      <w:r w:rsidR="00B72FA9"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171450</wp:posOffset>
                </wp:positionH>
                <wp:positionV relativeFrom="paragraph">
                  <wp:posOffset>2376170</wp:posOffset>
                </wp:positionV>
                <wp:extent cx="1933575" cy="6286500"/>
                <wp:effectExtent l="0" t="0" r="28575" b="19050"/>
                <wp:wrapNone/>
                <wp:docPr id="15" name="Rectangle 14"/>
                <wp:cNvGraphicFramePr/>
                <a:graphic xmlns:a="http://schemas.openxmlformats.org/drawingml/2006/main">
                  <a:graphicData uri="http://schemas.microsoft.com/office/word/2010/wordprocessingShape">
                    <wps:wsp>
                      <wps:cNvSpPr/>
                      <wps:spPr>
                        <a:xfrm>
                          <a:off x="0" y="0"/>
                          <a:ext cx="1933575" cy="62865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D106DB" w:rsidRDefault="00D106DB" w:rsidP="000D7D16">
                            <w:pPr>
                              <w:pStyle w:val="NormalWeb"/>
                              <w:spacing w:before="0" w:beforeAutospacing="0" w:after="0" w:afterAutospacing="0"/>
                              <w:jc w:val="center"/>
                              <w:rPr>
                                <w:rFonts w:asciiTheme="minorHAnsi" w:hAnsi="Calibri" w:cstheme="minorBidi"/>
                                <w:b/>
                                <w:bCs/>
                                <w:color w:val="000000" w:themeColor="text1"/>
                                <w:kern w:val="24"/>
                                <w:sz w:val="40"/>
                                <w:szCs w:val="40"/>
                              </w:rPr>
                            </w:pPr>
                          </w:p>
                          <w:p w:rsidR="00D106DB" w:rsidRDefault="00D106DB" w:rsidP="000D7D16">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2018</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 Seminar</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Series</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D106DB" w:rsidRDefault="00D106DB" w:rsidP="002F7BDA">
                            <w:pPr>
                              <w:pStyle w:val="NormalWeb"/>
                              <w:spacing w:before="0" w:beforeAutospacing="0" w:after="0" w:afterAutospacing="0"/>
                              <w:jc w:val="center"/>
                            </w:pPr>
                          </w:p>
                          <w:p w:rsidR="00D106DB" w:rsidRPr="00B72FA9" w:rsidRDefault="009A20CD" w:rsidP="002F7BDA">
                            <w:pPr>
                              <w:pStyle w:val="NormalWeb"/>
                              <w:spacing w:before="0" w:beforeAutospacing="0" w:after="0" w:afterAutospacing="0"/>
                              <w:jc w:val="center"/>
                              <w:rPr>
                                <w:rFonts w:asciiTheme="minorHAnsi" w:hAnsi="Calibri" w:cstheme="minorBidi"/>
                                <w:b/>
                                <w:color w:val="000000" w:themeColor="text1"/>
                                <w:kern w:val="24"/>
                                <w:sz w:val="36"/>
                                <w:szCs w:val="36"/>
                              </w:rPr>
                            </w:pPr>
                            <w:r>
                              <w:rPr>
                                <w:rFonts w:asciiTheme="minorHAnsi" w:hAnsi="Calibri" w:cstheme="minorBidi"/>
                                <w:b/>
                                <w:color w:val="000000" w:themeColor="text1"/>
                                <w:kern w:val="24"/>
                                <w:sz w:val="36"/>
                                <w:szCs w:val="36"/>
                              </w:rPr>
                              <w:t>Friday</w:t>
                            </w:r>
                            <w:bookmarkStart w:id="0" w:name="_GoBack"/>
                            <w:bookmarkEnd w:id="0"/>
                            <w:r w:rsidR="00D106DB" w:rsidRPr="00B72FA9">
                              <w:rPr>
                                <w:rFonts w:asciiTheme="minorHAnsi" w:hAnsi="Calibri" w:cstheme="minorBidi"/>
                                <w:b/>
                                <w:color w:val="000000" w:themeColor="text1"/>
                                <w:kern w:val="24"/>
                                <w:sz w:val="36"/>
                                <w:szCs w:val="36"/>
                              </w:rPr>
                              <w:t>, October 26, 2018</w:t>
                            </w: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Pr="000D7D16" w:rsidRDefault="00D106DB" w:rsidP="002F7BDA">
                            <w:pPr>
                              <w:pStyle w:val="NormalWeb"/>
                              <w:spacing w:before="0" w:beforeAutospacing="0" w:after="0" w:afterAutospacing="0"/>
                              <w:jc w:val="center"/>
                              <w:rPr>
                                <w:rFonts w:asciiTheme="minorHAnsi" w:hAnsi="Calibri" w:cstheme="minorBidi"/>
                                <w:b/>
                                <w:color w:val="000000" w:themeColor="text1"/>
                                <w:kern w:val="24"/>
                                <w:sz w:val="40"/>
                                <w:szCs w:val="40"/>
                              </w:rPr>
                            </w:pPr>
                            <w:r w:rsidRPr="000D7D16">
                              <w:rPr>
                                <w:rFonts w:asciiTheme="minorHAnsi" w:hAnsi="Calibri" w:cstheme="minorBidi"/>
                                <w:b/>
                                <w:color w:val="000000" w:themeColor="text1"/>
                                <w:kern w:val="24"/>
                                <w:sz w:val="40"/>
                                <w:szCs w:val="40"/>
                              </w:rPr>
                              <w:t>3:30 pm Snacks</w:t>
                            </w:r>
                          </w:p>
                          <w:p w:rsidR="00D106DB" w:rsidRPr="000D7D16" w:rsidRDefault="00D106DB" w:rsidP="002F7BDA">
                            <w:pPr>
                              <w:pStyle w:val="NormalWeb"/>
                              <w:spacing w:before="0" w:beforeAutospacing="0" w:after="0" w:afterAutospacing="0"/>
                              <w:jc w:val="center"/>
                              <w:rPr>
                                <w:rFonts w:asciiTheme="minorHAnsi" w:hAnsi="Calibri" w:cstheme="minorBidi"/>
                                <w:b/>
                                <w:color w:val="000000" w:themeColor="text1"/>
                                <w:kern w:val="24"/>
                                <w:sz w:val="40"/>
                                <w:szCs w:val="40"/>
                              </w:rPr>
                            </w:pPr>
                            <w:r>
                              <w:rPr>
                                <w:rFonts w:asciiTheme="minorHAnsi" w:hAnsi="Calibri" w:cstheme="minorBidi"/>
                                <w:b/>
                                <w:color w:val="000000" w:themeColor="text1"/>
                                <w:kern w:val="24"/>
                                <w:sz w:val="40"/>
                                <w:szCs w:val="40"/>
                              </w:rPr>
                              <w:t xml:space="preserve">3:45 pm </w:t>
                            </w:r>
                            <w:r w:rsidRPr="000D7D16">
                              <w:rPr>
                                <w:rFonts w:asciiTheme="minorHAnsi" w:hAnsi="Calibri" w:cstheme="minorBidi"/>
                                <w:b/>
                                <w:color w:val="000000" w:themeColor="text1"/>
                                <w:kern w:val="24"/>
                                <w:sz w:val="40"/>
                                <w:szCs w:val="40"/>
                              </w:rPr>
                              <w:t>Seminar</w:t>
                            </w:r>
                            <w:r w:rsidRPr="000D7D16">
                              <w:rPr>
                                <w:rFonts w:asciiTheme="minorHAnsi" w:hAnsi="Calibri" w:cstheme="minorBidi"/>
                                <w:b/>
                                <w:color w:val="000000" w:themeColor="text1"/>
                                <w:kern w:val="24"/>
                                <w:sz w:val="40"/>
                                <w:szCs w:val="40"/>
                              </w:rPr>
                              <w:br/>
                              <w:t>ARMS 1010</w:t>
                            </w: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8" style="position:absolute;left:0;text-align:left;margin-left:13.5pt;margin-top:187.1pt;width:152.25pt;height:4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" fillcolor="#65a0d7 [3028]" strokecolor="#5b9bd5 [3204]" strokeweight=".5pt">
                <v:fill color2="#5898d4 [3172]" rotate="t" colors="0 #71a6db;.5 #559bdb;1 #438ac9" focus="100%" type="gradient">
                  <o:fill v:ext="view" type="gradientUnscaled"/>
                </v:fill>
                <v:textbox>
                  <w:txbxContent>
                    <w:p w:rsidR="00D106DB" w:rsidRDefault="00D106DB" w:rsidP="000D7D16">
                      <w:pPr>
                        <w:pStyle w:val="NormalWeb"/>
                        <w:spacing w:before="0" w:beforeAutospacing="0" w:after="0" w:afterAutospacing="0"/>
                        <w:jc w:val="center"/>
                        <w:rPr>
                          <w:rFonts w:asciiTheme="minorHAnsi" w:hAnsi="Calibri" w:cstheme="minorBidi"/>
                          <w:b/>
                          <w:bCs/>
                          <w:color w:val="000000" w:themeColor="text1"/>
                          <w:kern w:val="24"/>
                          <w:sz w:val="40"/>
                          <w:szCs w:val="40"/>
                        </w:rPr>
                      </w:pPr>
                    </w:p>
                    <w:p w:rsidR="00D106DB" w:rsidRDefault="00D106DB" w:rsidP="000D7D16">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Fall 2018</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 Seminar</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Series</w:t>
                      </w:r>
                    </w:p>
                    <w:p w:rsidR="00D106DB" w:rsidRDefault="00D106DB"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D106DB" w:rsidRDefault="00D106DB" w:rsidP="002F7BDA">
                      <w:pPr>
                        <w:pStyle w:val="NormalWeb"/>
                        <w:spacing w:before="0" w:beforeAutospacing="0" w:after="0" w:afterAutospacing="0"/>
                        <w:jc w:val="center"/>
                      </w:pPr>
                    </w:p>
                    <w:p w:rsidR="00D106DB" w:rsidRPr="00B72FA9" w:rsidRDefault="009A20CD" w:rsidP="002F7BDA">
                      <w:pPr>
                        <w:pStyle w:val="NormalWeb"/>
                        <w:spacing w:before="0" w:beforeAutospacing="0" w:after="0" w:afterAutospacing="0"/>
                        <w:jc w:val="center"/>
                        <w:rPr>
                          <w:rFonts w:asciiTheme="minorHAnsi" w:hAnsi="Calibri" w:cstheme="minorBidi"/>
                          <w:b/>
                          <w:color w:val="000000" w:themeColor="text1"/>
                          <w:kern w:val="24"/>
                          <w:sz w:val="36"/>
                          <w:szCs w:val="36"/>
                        </w:rPr>
                      </w:pPr>
                      <w:r>
                        <w:rPr>
                          <w:rFonts w:asciiTheme="minorHAnsi" w:hAnsi="Calibri" w:cstheme="minorBidi"/>
                          <w:b/>
                          <w:color w:val="000000" w:themeColor="text1"/>
                          <w:kern w:val="24"/>
                          <w:sz w:val="36"/>
                          <w:szCs w:val="36"/>
                        </w:rPr>
                        <w:t>Friday</w:t>
                      </w:r>
                      <w:bookmarkStart w:id="1" w:name="_GoBack"/>
                      <w:bookmarkEnd w:id="1"/>
                      <w:r w:rsidR="00D106DB" w:rsidRPr="00B72FA9">
                        <w:rPr>
                          <w:rFonts w:asciiTheme="minorHAnsi" w:hAnsi="Calibri" w:cstheme="minorBidi"/>
                          <w:b/>
                          <w:color w:val="000000" w:themeColor="text1"/>
                          <w:kern w:val="24"/>
                          <w:sz w:val="36"/>
                          <w:szCs w:val="36"/>
                        </w:rPr>
                        <w:t>, October 26, 2018</w:t>
                      </w: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Pr="000D7D16" w:rsidRDefault="00D106DB" w:rsidP="002F7BDA">
                      <w:pPr>
                        <w:pStyle w:val="NormalWeb"/>
                        <w:spacing w:before="0" w:beforeAutospacing="0" w:after="0" w:afterAutospacing="0"/>
                        <w:jc w:val="center"/>
                        <w:rPr>
                          <w:rFonts w:asciiTheme="minorHAnsi" w:hAnsi="Calibri" w:cstheme="minorBidi"/>
                          <w:b/>
                          <w:color w:val="000000" w:themeColor="text1"/>
                          <w:kern w:val="24"/>
                          <w:sz w:val="40"/>
                          <w:szCs w:val="40"/>
                        </w:rPr>
                      </w:pPr>
                      <w:r w:rsidRPr="000D7D16">
                        <w:rPr>
                          <w:rFonts w:asciiTheme="minorHAnsi" w:hAnsi="Calibri" w:cstheme="minorBidi"/>
                          <w:b/>
                          <w:color w:val="000000" w:themeColor="text1"/>
                          <w:kern w:val="24"/>
                          <w:sz w:val="40"/>
                          <w:szCs w:val="40"/>
                        </w:rPr>
                        <w:t>3:30 pm Snacks</w:t>
                      </w:r>
                    </w:p>
                    <w:p w:rsidR="00D106DB" w:rsidRPr="000D7D16" w:rsidRDefault="00D106DB" w:rsidP="002F7BDA">
                      <w:pPr>
                        <w:pStyle w:val="NormalWeb"/>
                        <w:spacing w:before="0" w:beforeAutospacing="0" w:after="0" w:afterAutospacing="0"/>
                        <w:jc w:val="center"/>
                        <w:rPr>
                          <w:rFonts w:asciiTheme="minorHAnsi" w:hAnsi="Calibri" w:cstheme="minorBidi"/>
                          <w:b/>
                          <w:color w:val="000000" w:themeColor="text1"/>
                          <w:kern w:val="24"/>
                          <w:sz w:val="40"/>
                          <w:szCs w:val="40"/>
                        </w:rPr>
                      </w:pPr>
                      <w:r>
                        <w:rPr>
                          <w:rFonts w:asciiTheme="minorHAnsi" w:hAnsi="Calibri" w:cstheme="minorBidi"/>
                          <w:b/>
                          <w:color w:val="000000" w:themeColor="text1"/>
                          <w:kern w:val="24"/>
                          <w:sz w:val="40"/>
                          <w:szCs w:val="40"/>
                        </w:rPr>
                        <w:t xml:space="preserve">3:45 pm </w:t>
                      </w:r>
                      <w:r w:rsidRPr="000D7D16">
                        <w:rPr>
                          <w:rFonts w:asciiTheme="minorHAnsi" w:hAnsi="Calibri" w:cstheme="minorBidi"/>
                          <w:b/>
                          <w:color w:val="000000" w:themeColor="text1"/>
                          <w:kern w:val="24"/>
                          <w:sz w:val="40"/>
                          <w:szCs w:val="40"/>
                        </w:rPr>
                        <w:t>Seminar</w:t>
                      </w:r>
                      <w:r w:rsidRPr="000D7D16">
                        <w:rPr>
                          <w:rFonts w:asciiTheme="minorHAnsi" w:hAnsi="Calibri" w:cstheme="minorBidi"/>
                          <w:b/>
                          <w:color w:val="000000" w:themeColor="text1"/>
                          <w:kern w:val="24"/>
                          <w:sz w:val="40"/>
                          <w:szCs w:val="40"/>
                        </w:rPr>
                        <w:br/>
                        <w:t>ARMS 1010</w:t>
                      </w: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D106DB" w:rsidRDefault="00D106DB"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00671838" w:rsidRPr="00FB5DAD">
        <w:rPr>
          <w:b/>
          <w:noProof/>
        </w:rPr>
        <w:t xml:space="preserve"> </w:t>
      </w:r>
      <w:r w:rsidR="000D7D16">
        <w:rPr>
          <w:rFonts w:ascii="Calibri" w:hAnsi="Calibri" w:cs="Calibri"/>
          <w:noProof/>
          <w:sz w:val="20"/>
          <w:szCs w:val="20"/>
        </w:rPr>
        <w:t xml:space="preserve">   </w:t>
      </w:r>
      <w:r w:rsidR="00FE537A" w:rsidRPr="00800070">
        <w:rPr>
          <w:rFonts w:ascii="Calibri" w:hAnsi="Calibri" w:cs="Calibri"/>
          <w:noProof/>
          <w:sz w:val="20"/>
          <w:szCs w:val="20"/>
        </w:rPr>
        <w:drawing>
          <wp:inline distT="0" distB="0" distL="0" distR="0" wp14:anchorId="0334A31C" wp14:editId="15621588">
            <wp:extent cx="1763139" cy="2209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eb:Dropbox:Photos:2012-Sasha-Boltasseva.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65542" cy="2212811"/>
                    </a:xfrm>
                    <a:prstGeom prst="rect">
                      <a:avLst/>
                    </a:prstGeom>
                    <a:noFill/>
                    <a:ln>
                      <a:noFill/>
                    </a:ln>
                  </pic:spPr>
                </pic:pic>
              </a:graphicData>
            </a:graphic>
          </wp:inline>
        </w:drawing>
      </w:r>
    </w:p>
    <w:sectPr w:rsidR="00774432" w:rsidRPr="00FB5DAD" w:rsidSect="000D7D16">
      <w:headerReference w:type="default" r:id="rId11"/>
      <w:pgSz w:w="12240" w:h="15840"/>
      <w:pgMar w:top="810" w:right="1440" w:bottom="27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6DB" w:rsidRDefault="00D106DB" w:rsidP="000D7D16">
      <w:pPr>
        <w:spacing w:after="0" w:line="240" w:lineRule="auto"/>
      </w:pPr>
      <w:r>
        <w:separator/>
      </w:r>
    </w:p>
  </w:endnote>
  <w:endnote w:type="continuationSeparator" w:id="0">
    <w:p w:rsidR="00D106DB" w:rsidRDefault="00D106DB" w:rsidP="000D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6DB" w:rsidRDefault="00D106DB" w:rsidP="000D7D16">
      <w:pPr>
        <w:spacing w:after="0" w:line="240" w:lineRule="auto"/>
      </w:pPr>
      <w:r>
        <w:separator/>
      </w:r>
    </w:p>
  </w:footnote>
  <w:footnote w:type="continuationSeparator" w:id="0">
    <w:p w:rsidR="00D106DB" w:rsidRDefault="00D106DB" w:rsidP="000D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DB" w:rsidRDefault="00D106DB" w:rsidP="00D106DB">
    <w:pPr>
      <w:pStyle w:val="Header"/>
      <w:ind w:left="-990"/>
    </w:pPr>
    <w:r>
      <w:rPr>
        <w:b/>
        <w:noProof/>
      </w:rPr>
      <w:drawing>
        <wp:inline distT="0" distB="0" distL="0" distR="0" wp14:anchorId="2AA0BBD3" wp14:editId="73526697">
          <wp:extent cx="4476750" cy="76525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G-Mater-Colle-H-BG-RGB 22.png"/>
                  <pic:cNvPicPr/>
                </pic:nvPicPr>
                <pic:blipFill>
                  <a:blip r:embed="rId1">
                    <a:extLst>
                      <a:ext uri="{28A0092B-C50C-407E-A947-70E740481C1C}">
                        <a14:useLocalDpi xmlns:a14="http://schemas.microsoft.com/office/drawing/2010/main" val="0"/>
                      </a:ext>
                    </a:extLst>
                  </a:blip>
                  <a:stretch>
                    <a:fillRect/>
                  </a:stretch>
                </pic:blipFill>
                <pic:spPr>
                  <a:xfrm>
                    <a:off x="0" y="0"/>
                    <a:ext cx="4540270" cy="7761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D7D16"/>
    <w:rsid w:val="001272AB"/>
    <w:rsid w:val="00165036"/>
    <w:rsid w:val="001926B0"/>
    <w:rsid w:val="001973FA"/>
    <w:rsid w:val="001B0D29"/>
    <w:rsid w:val="001D0759"/>
    <w:rsid w:val="00272484"/>
    <w:rsid w:val="002D4B41"/>
    <w:rsid w:val="002F7BDA"/>
    <w:rsid w:val="003662ED"/>
    <w:rsid w:val="00374683"/>
    <w:rsid w:val="003B0F61"/>
    <w:rsid w:val="003C5D25"/>
    <w:rsid w:val="005C0E3A"/>
    <w:rsid w:val="00620BAD"/>
    <w:rsid w:val="0064235B"/>
    <w:rsid w:val="00671838"/>
    <w:rsid w:val="006764B3"/>
    <w:rsid w:val="006977A9"/>
    <w:rsid w:val="006B1905"/>
    <w:rsid w:val="00744523"/>
    <w:rsid w:val="00774432"/>
    <w:rsid w:val="007E60D7"/>
    <w:rsid w:val="00805F04"/>
    <w:rsid w:val="008C1EA4"/>
    <w:rsid w:val="008F2750"/>
    <w:rsid w:val="009204FD"/>
    <w:rsid w:val="00951902"/>
    <w:rsid w:val="00952455"/>
    <w:rsid w:val="00981478"/>
    <w:rsid w:val="009A20CD"/>
    <w:rsid w:val="009D155F"/>
    <w:rsid w:val="00B35BAF"/>
    <w:rsid w:val="00B66855"/>
    <w:rsid w:val="00B72FA9"/>
    <w:rsid w:val="00C7453A"/>
    <w:rsid w:val="00C95FE6"/>
    <w:rsid w:val="00D106DB"/>
    <w:rsid w:val="00D13351"/>
    <w:rsid w:val="00D20141"/>
    <w:rsid w:val="00D971BB"/>
    <w:rsid w:val="00E24F08"/>
    <w:rsid w:val="00F05602"/>
    <w:rsid w:val="00F75B48"/>
    <w:rsid w:val="00F76C4B"/>
    <w:rsid w:val="00F9767C"/>
    <w:rsid w:val="00FA7DD3"/>
    <w:rsid w:val="00FB5DAD"/>
    <w:rsid w:val="00FE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C1EF4"/>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paragraph" w:styleId="Title">
    <w:name w:val="Title"/>
    <w:basedOn w:val="Normal"/>
    <w:link w:val="TitleChar"/>
    <w:qFormat/>
    <w:rsid w:val="001973FA"/>
    <w:pPr>
      <w:widowControl w:val="0"/>
      <w:spacing w:after="0" w:line="240" w:lineRule="auto"/>
      <w:jc w:val="center"/>
    </w:pPr>
    <w:rPr>
      <w:rFonts w:ascii="Century" w:eastAsia="MS Mincho" w:hAnsi="Century" w:cs="Times New Roman"/>
      <w:b/>
      <w:bCs/>
      <w:kern w:val="2"/>
      <w:sz w:val="24"/>
      <w:szCs w:val="24"/>
      <w:lang w:eastAsia="ja-JP"/>
    </w:rPr>
  </w:style>
  <w:style w:type="character" w:customStyle="1" w:styleId="TitleChar">
    <w:name w:val="Title Char"/>
    <w:basedOn w:val="DefaultParagraphFont"/>
    <w:link w:val="Title"/>
    <w:rsid w:val="001973FA"/>
    <w:rPr>
      <w:rFonts w:ascii="Century" w:eastAsia="MS Mincho" w:hAnsi="Century" w:cs="Times New Roman"/>
      <w:b/>
      <w:bCs/>
      <w:kern w:val="2"/>
      <w:sz w:val="24"/>
      <w:szCs w:val="24"/>
      <w:lang w:eastAsia="ja-JP"/>
    </w:rPr>
  </w:style>
  <w:style w:type="paragraph" w:styleId="Header">
    <w:name w:val="header"/>
    <w:basedOn w:val="Normal"/>
    <w:link w:val="HeaderChar"/>
    <w:uiPriority w:val="99"/>
    <w:unhideWhenUsed/>
    <w:rsid w:val="000D7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16"/>
  </w:style>
  <w:style w:type="paragraph" w:styleId="Footer">
    <w:name w:val="footer"/>
    <w:basedOn w:val="Normal"/>
    <w:link w:val="FooterChar"/>
    <w:uiPriority w:val="99"/>
    <w:unhideWhenUsed/>
    <w:rsid w:val="000D7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4037">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33004779">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809736432">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citations?user=dg2m2WsAAAAJ&amp;hl=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searchgate.net/profile/Mark_Tschopp?ev=hdr_xpr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google.com/citations?user=dg2m2WsAAAAJ&amp;hl=e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https://www.researchgate.net/profile/Mark_Tschopp?ev=hdr_xpr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CAA50BDA.dotm</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2</cp:revision>
  <cp:lastPrinted>2018-10-19T14:56:00Z</cp:lastPrinted>
  <dcterms:created xsi:type="dcterms:W3CDTF">2018-10-19T14:57:00Z</dcterms:created>
  <dcterms:modified xsi:type="dcterms:W3CDTF">2018-10-19T14:57:00Z</dcterms:modified>
</cp:coreProperties>
</file>