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3C" w:rsidRDefault="00310C7E" w:rsidP="0076213C">
      <w:pPr>
        <w:tabs>
          <w:tab w:val="left" w:pos="3240"/>
          <w:tab w:val="left" w:pos="5040"/>
          <w:tab w:val="left" w:pos="6480"/>
        </w:tabs>
        <w:jc w:val="center"/>
        <w:rPr>
          <w:b/>
        </w:rPr>
      </w:pPr>
      <w:r>
        <w:rPr>
          <w:b/>
          <w:noProof/>
        </w:rPr>
        <w:drawing>
          <wp:inline distT="0" distB="0" distL="0" distR="0" wp14:anchorId="5C26C10A" wp14:editId="55C87EDD">
            <wp:extent cx="6108700" cy="984250"/>
            <wp:effectExtent l="0" t="0" r="6350" b="6350"/>
            <wp:docPr id="2" name="Picture 2" descr="O:\Marketing and Communications\Logos\EEE 3 graphi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arketing and Communications\Logos\EEE 3 graphic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8700" cy="984250"/>
                    </a:xfrm>
                    <a:prstGeom prst="rect">
                      <a:avLst/>
                    </a:prstGeom>
                    <a:noFill/>
                    <a:ln>
                      <a:noFill/>
                    </a:ln>
                  </pic:spPr>
                </pic:pic>
              </a:graphicData>
            </a:graphic>
          </wp:inline>
        </w:drawing>
      </w:r>
    </w:p>
    <w:p w:rsidR="0075571E" w:rsidRPr="0075571E" w:rsidRDefault="0075571E" w:rsidP="0075571E">
      <w:pPr>
        <w:tabs>
          <w:tab w:val="left" w:pos="3240"/>
          <w:tab w:val="left" w:pos="5040"/>
          <w:tab w:val="left" w:pos="6480"/>
        </w:tabs>
        <w:jc w:val="center"/>
        <w:rPr>
          <w:b/>
          <w:sz w:val="40"/>
          <w:szCs w:val="40"/>
        </w:rPr>
      </w:pPr>
      <w:r w:rsidRPr="0075571E">
        <w:rPr>
          <w:b/>
          <w:sz w:val="40"/>
          <w:szCs w:val="40"/>
        </w:rPr>
        <w:t xml:space="preserve">EEE </w:t>
      </w:r>
      <w:r w:rsidR="00CD65CC">
        <w:rPr>
          <w:b/>
          <w:sz w:val="40"/>
          <w:szCs w:val="40"/>
        </w:rPr>
        <w:t xml:space="preserve">Research </w:t>
      </w:r>
      <w:r w:rsidRPr="0075571E">
        <w:rPr>
          <w:b/>
          <w:sz w:val="40"/>
          <w:szCs w:val="40"/>
        </w:rPr>
        <w:t>Seminar</w:t>
      </w:r>
    </w:p>
    <w:p w:rsidR="0075571E" w:rsidRPr="0075571E" w:rsidRDefault="0075571E" w:rsidP="0075571E">
      <w:pPr>
        <w:tabs>
          <w:tab w:val="left" w:pos="3240"/>
          <w:tab w:val="left" w:pos="5040"/>
          <w:tab w:val="left" w:pos="6480"/>
        </w:tabs>
        <w:jc w:val="center"/>
        <w:rPr>
          <w:b/>
        </w:rPr>
      </w:pPr>
      <w:r>
        <w:rPr>
          <w:b/>
        </w:rPr>
        <w:tab/>
      </w:r>
      <w:r>
        <w:rPr>
          <w:b/>
        </w:rPr>
        <w:tab/>
      </w:r>
      <w:r>
        <w:rPr>
          <w:b/>
        </w:rPr>
        <w:tab/>
      </w:r>
    </w:p>
    <w:p w:rsidR="0075571E" w:rsidRPr="00A23AF9" w:rsidRDefault="0075571E" w:rsidP="0075571E">
      <w:pPr>
        <w:tabs>
          <w:tab w:val="left" w:pos="3240"/>
          <w:tab w:val="left" w:pos="5040"/>
          <w:tab w:val="left" w:pos="6480"/>
        </w:tabs>
        <w:jc w:val="center"/>
        <w:rPr>
          <w:b/>
        </w:rPr>
      </w:pPr>
      <w:r w:rsidRPr="00A23AF9">
        <w:rPr>
          <w:b/>
        </w:rPr>
        <w:t>DATE</w:t>
      </w:r>
      <w:r w:rsidR="00A8132F" w:rsidRPr="00A23AF9">
        <w:rPr>
          <w:b/>
        </w:rPr>
        <w:t>:  Wednesday, January 27, 2016</w:t>
      </w:r>
      <w:r w:rsidRPr="00A23AF9">
        <w:rPr>
          <w:b/>
        </w:rPr>
        <w:t xml:space="preserve"> </w:t>
      </w:r>
    </w:p>
    <w:p w:rsidR="0075571E" w:rsidRPr="00A23AF9" w:rsidRDefault="0075571E" w:rsidP="0075571E">
      <w:pPr>
        <w:tabs>
          <w:tab w:val="left" w:pos="3240"/>
          <w:tab w:val="left" w:pos="5040"/>
          <w:tab w:val="left" w:pos="6480"/>
        </w:tabs>
        <w:jc w:val="center"/>
        <w:rPr>
          <w:b/>
        </w:rPr>
      </w:pPr>
      <w:r w:rsidRPr="00A23AF9">
        <w:rPr>
          <w:b/>
        </w:rPr>
        <w:tab/>
        <w:t>TIME:  3:30 P.M.</w:t>
      </w:r>
      <w:r w:rsidRPr="00A23AF9">
        <w:rPr>
          <w:b/>
        </w:rPr>
        <w:tab/>
      </w:r>
      <w:r w:rsidRPr="00A23AF9">
        <w:rPr>
          <w:b/>
        </w:rPr>
        <w:tab/>
      </w:r>
      <w:r w:rsidRPr="00A23AF9">
        <w:rPr>
          <w:b/>
        </w:rPr>
        <w:tab/>
      </w:r>
      <w:r w:rsidRPr="00A23AF9">
        <w:rPr>
          <w:b/>
        </w:rPr>
        <w:tab/>
      </w:r>
    </w:p>
    <w:p w:rsidR="0075571E" w:rsidRPr="00A23AF9" w:rsidRDefault="0075571E" w:rsidP="0075571E">
      <w:pPr>
        <w:tabs>
          <w:tab w:val="left" w:pos="3240"/>
          <w:tab w:val="left" w:pos="5040"/>
          <w:tab w:val="left" w:pos="6480"/>
        </w:tabs>
        <w:jc w:val="center"/>
        <w:rPr>
          <w:b/>
        </w:rPr>
      </w:pPr>
      <w:r w:rsidRPr="00A23AF9">
        <w:rPr>
          <w:b/>
        </w:rPr>
        <w:t>LOCATION:  Potter 234, Fu Room</w:t>
      </w:r>
    </w:p>
    <w:p w:rsidR="00A8132F" w:rsidRPr="00A23AF9" w:rsidRDefault="00A8132F" w:rsidP="0041403C">
      <w:pPr>
        <w:tabs>
          <w:tab w:val="left" w:pos="3240"/>
          <w:tab w:val="left" w:pos="5040"/>
          <w:tab w:val="left" w:pos="6480"/>
        </w:tabs>
        <w:jc w:val="center"/>
        <w:rPr>
          <w:b/>
        </w:rPr>
      </w:pPr>
    </w:p>
    <w:p w:rsidR="0076213C" w:rsidRPr="00A23AF9" w:rsidRDefault="00CD65CC" w:rsidP="0041403C">
      <w:pPr>
        <w:tabs>
          <w:tab w:val="left" w:pos="2700"/>
          <w:tab w:val="left" w:pos="5040"/>
          <w:tab w:val="left" w:pos="6480"/>
        </w:tabs>
        <w:jc w:val="center"/>
        <w:rPr>
          <w:b/>
        </w:rPr>
      </w:pPr>
      <w:r>
        <w:rPr>
          <w:b/>
        </w:rPr>
        <w:t>Prof</w:t>
      </w:r>
      <w:r w:rsidR="00A8132F" w:rsidRPr="00A23AF9">
        <w:rPr>
          <w:b/>
        </w:rPr>
        <w:t>. Sangwon Suh</w:t>
      </w:r>
    </w:p>
    <w:p w:rsidR="00A8132F" w:rsidRPr="00A23AF9" w:rsidRDefault="00A8132F" w:rsidP="00A8132F">
      <w:pPr>
        <w:tabs>
          <w:tab w:val="left" w:pos="2700"/>
          <w:tab w:val="left" w:pos="5040"/>
          <w:tab w:val="left" w:pos="6480"/>
        </w:tabs>
        <w:jc w:val="center"/>
        <w:rPr>
          <w:b/>
        </w:rPr>
      </w:pPr>
      <w:r w:rsidRPr="00A23AF9">
        <w:rPr>
          <w:b/>
        </w:rPr>
        <w:t>Bren School of Environmental Science and Management</w:t>
      </w:r>
    </w:p>
    <w:p w:rsidR="009C59B1" w:rsidRPr="00A23AF9" w:rsidRDefault="00A8132F" w:rsidP="00A8132F">
      <w:pPr>
        <w:tabs>
          <w:tab w:val="left" w:pos="2700"/>
          <w:tab w:val="left" w:pos="5040"/>
          <w:tab w:val="left" w:pos="6480"/>
        </w:tabs>
        <w:jc w:val="center"/>
        <w:rPr>
          <w:b/>
        </w:rPr>
      </w:pPr>
      <w:r w:rsidRPr="00A23AF9">
        <w:rPr>
          <w:b/>
        </w:rPr>
        <w:t>University of California, Santa Barbara</w:t>
      </w:r>
    </w:p>
    <w:p w:rsidR="00A23AF9" w:rsidRPr="00A23AF9" w:rsidRDefault="00A23AF9" w:rsidP="00A8132F">
      <w:pPr>
        <w:tabs>
          <w:tab w:val="left" w:pos="2700"/>
          <w:tab w:val="left" w:pos="5040"/>
          <w:tab w:val="left" w:pos="6480"/>
        </w:tabs>
        <w:jc w:val="center"/>
        <w:rPr>
          <w:b/>
        </w:rPr>
      </w:pPr>
    </w:p>
    <w:p w:rsidR="00A23AF9" w:rsidRPr="00A23AF9" w:rsidRDefault="00A23AF9" w:rsidP="00A8132F">
      <w:pPr>
        <w:tabs>
          <w:tab w:val="left" w:pos="2700"/>
          <w:tab w:val="left" w:pos="5040"/>
          <w:tab w:val="left" w:pos="6480"/>
        </w:tabs>
        <w:jc w:val="center"/>
        <w:rPr>
          <w:b/>
          <w:sz w:val="28"/>
          <w:szCs w:val="28"/>
        </w:rPr>
      </w:pPr>
      <w:r w:rsidRPr="00A23AF9">
        <w:rPr>
          <w:b/>
          <w:sz w:val="28"/>
          <w:szCs w:val="28"/>
        </w:rPr>
        <w:t>Cost, engineering-level details, and information asymmetry in understanding the consequences of technology change</w:t>
      </w:r>
    </w:p>
    <w:p w:rsidR="00A23AF9" w:rsidRPr="00A23AF9" w:rsidRDefault="00A23AF9" w:rsidP="00A8132F">
      <w:pPr>
        <w:tabs>
          <w:tab w:val="left" w:pos="2700"/>
          <w:tab w:val="left" w:pos="5040"/>
          <w:tab w:val="left" w:pos="6480"/>
        </w:tabs>
        <w:jc w:val="center"/>
        <w:rPr>
          <w:b/>
          <w:sz w:val="28"/>
          <w:szCs w:val="28"/>
        </w:rPr>
      </w:pPr>
    </w:p>
    <w:p w:rsidR="0076213C" w:rsidRDefault="00401DD3" w:rsidP="0076213C">
      <w:pPr>
        <w:jc w:val="both"/>
        <w:rPr>
          <w:b/>
          <w:sz w:val="22"/>
          <w:szCs w:val="22"/>
        </w:rPr>
      </w:pPr>
      <w:r>
        <w:rPr>
          <w:b/>
          <w:sz w:val="22"/>
          <w:szCs w:val="22"/>
        </w:rPr>
        <w:t>ABSTRACT</w:t>
      </w:r>
    </w:p>
    <w:p w:rsidR="00A8132F" w:rsidRPr="00A8132F" w:rsidRDefault="00A8132F" w:rsidP="0076213C">
      <w:pPr>
        <w:jc w:val="both"/>
        <w:rPr>
          <w:sz w:val="22"/>
          <w:szCs w:val="22"/>
        </w:rPr>
      </w:pPr>
      <w:r w:rsidRPr="00A8132F">
        <w:rPr>
          <w:sz w:val="22"/>
          <w:szCs w:val="22"/>
        </w:rPr>
        <w:t>Technology change has significantly affected the environment and human wellbeing, while our ability to model the consequences of it is still limited. In this seminar, first, I would like to talk about the literature in Life Cycle Assessment (LCA) on technology change drawing examples from scale-up of production, and technology learnings. Then, I will focus on a new modeling approach to, so called Consequential LCA. Discussions on Consequential LCA (CLCA) have been relying largely on partial or general equilibrium models. Such models are useful for integrating market effects in CLCA, but also have well-recognized limitations such as the poor granularity of the sectoral definition and the assumption of perfect cost-minimization by all economic agents. Building on the Rectangular-Choice-of-Technology (RCOT) model, this study proposes a new modeling approach for CLCA that incorporates engineering-level details, parameter uncertainties, and suboptimal de</w:t>
      </w:r>
      <w:bookmarkStart w:id="0" w:name="_GoBack"/>
      <w:bookmarkEnd w:id="0"/>
      <w:r w:rsidRPr="00A8132F">
        <w:rPr>
          <w:sz w:val="22"/>
          <w:szCs w:val="22"/>
        </w:rPr>
        <w:t>cisions due to market imperfections and information asymmetry. In a case study on rice production, we demonstrate that the proposed approach allows modeling of complex production technology mixes and their expected environmental outcomes under uncertainty at a high level of granularity. Incorporating the effect of production constraints, uncertainty, and suboptimal decisions by the economic agents significantly affects the technology mix and associated greenhouse gas (GHG) emissions of the system under study. The case study also shows the model’s ability to determine both the average and marginal environmental impacts of a product in response to the changes in the quantity of final demand.</w:t>
      </w:r>
    </w:p>
    <w:p w:rsidR="00A8132F" w:rsidRPr="00ED2CAA" w:rsidRDefault="00A8132F" w:rsidP="0076213C">
      <w:pPr>
        <w:jc w:val="both"/>
        <w:rPr>
          <w:b/>
          <w:sz w:val="22"/>
          <w:szCs w:val="22"/>
        </w:rPr>
      </w:pPr>
    </w:p>
    <w:p w:rsidR="009C59B1" w:rsidRDefault="009C59B1" w:rsidP="0076213C">
      <w:pPr>
        <w:jc w:val="both"/>
        <w:rPr>
          <w:b/>
          <w:sz w:val="22"/>
          <w:szCs w:val="22"/>
        </w:rPr>
      </w:pPr>
      <w:r w:rsidRPr="00ED2CAA">
        <w:rPr>
          <w:b/>
          <w:sz w:val="22"/>
          <w:szCs w:val="22"/>
        </w:rPr>
        <w:t>BIO</w:t>
      </w:r>
    </w:p>
    <w:p w:rsidR="00A8132F" w:rsidRPr="00A8132F" w:rsidRDefault="00A8132F" w:rsidP="00A8132F">
      <w:pPr>
        <w:jc w:val="both"/>
        <w:rPr>
          <w:sz w:val="22"/>
          <w:szCs w:val="22"/>
        </w:rPr>
      </w:pPr>
      <w:r w:rsidRPr="00A8132F">
        <w:rPr>
          <w:sz w:val="22"/>
          <w:szCs w:val="22"/>
        </w:rPr>
        <w:t xml:space="preserve">Dr. Sangwon Suh is an Associate Professor in </w:t>
      </w:r>
      <w:r w:rsidR="0030564E">
        <w:rPr>
          <w:sz w:val="22"/>
          <w:szCs w:val="22"/>
        </w:rPr>
        <w:t xml:space="preserve">the </w:t>
      </w:r>
      <w:r w:rsidRPr="00A8132F">
        <w:rPr>
          <w:sz w:val="22"/>
          <w:szCs w:val="22"/>
        </w:rPr>
        <w:t>Bren School of Environmental Science and Management at the University of California at Santa Barbara.  Dr. Sangwon Suh obtained his PhD (cum laude) for his dissertation, "Materials and Energy Flows in Industry and Ecosystem Networks" at Leiden University in the Netherlands in 2004. He taught "Advanced Life Cycle Assessment" at the department of Civil and Environmental Engineering in Carnegie Mellon University from 2004 to 2005. He joined the faculty of College of Natural Resources of the University of Minnesota in 2005. Dr. Suh took his current position at Bren School in 2010.</w:t>
      </w:r>
    </w:p>
    <w:p w:rsidR="00A8132F" w:rsidRPr="00A8132F" w:rsidRDefault="00A8132F" w:rsidP="00A8132F">
      <w:pPr>
        <w:jc w:val="both"/>
        <w:rPr>
          <w:sz w:val="22"/>
          <w:szCs w:val="22"/>
        </w:rPr>
      </w:pPr>
    </w:p>
    <w:p w:rsidR="00A8132F" w:rsidRPr="00A8132F" w:rsidRDefault="00A8132F" w:rsidP="00A8132F">
      <w:pPr>
        <w:jc w:val="both"/>
        <w:rPr>
          <w:sz w:val="22"/>
          <w:szCs w:val="22"/>
        </w:rPr>
      </w:pPr>
      <w:r w:rsidRPr="00A8132F">
        <w:rPr>
          <w:sz w:val="22"/>
          <w:szCs w:val="22"/>
        </w:rPr>
        <w:t>Dr. Suh was appointed as one of the 28 members of the International Resources Panel of the United Nations Environmental Programme (UNEP) since 2009. He is appointed as the coordinating lead author of the Assessment Report 5 by the Intergovernmental Panel on Climate Change (IPCC). He is one of the few members of both working groups by the International Organization for Standardization (ISO) and the World Resources Institute (WRI)/World Business Council for Sustainable Development (WBCSD) in their efforts of carbon footprint standardization (ISO 14064 and GHG protocol</w:t>
      </w:r>
    </w:p>
    <w:p w:rsidR="00A8132F" w:rsidRDefault="00A8132F" w:rsidP="00A8132F">
      <w:pPr>
        <w:jc w:val="both"/>
        <w:rPr>
          <w:sz w:val="22"/>
          <w:szCs w:val="22"/>
        </w:rPr>
      </w:pPr>
      <w:r w:rsidRPr="00A8132F">
        <w:rPr>
          <w:sz w:val="22"/>
          <w:szCs w:val="22"/>
        </w:rPr>
        <w:t>Dr. Suh was awarded the McKnight Land-Grand Professorship in 2009 and 2010 by the Board of Regents of the University of Minnesota. Dr. Suh received the the Robert A. Laudise Prize by the International Society for Industrial Ecology in 2009. He was the AT&amp;T Industrial Ecology Fellow in 2003 and 2004.</w:t>
      </w:r>
    </w:p>
    <w:p w:rsidR="00A23AF9" w:rsidRDefault="00A23AF9" w:rsidP="00A8132F">
      <w:pPr>
        <w:jc w:val="both"/>
        <w:rPr>
          <w:sz w:val="22"/>
          <w:szCs w:val="22"/>
        </w:rPr>
      </w:pPr>
    </w:p>
    <w:p w:rsidR="00A23AF9" w:rsidRPr="00A8132F" w:rsidRDefault="00A23AF9" w:rsidP="00A23AF9">
      <w:pPr>
        <w:jc w:val="both"/>
        <w:rPr>
          <w:sz w:val="22"/>
          <w:szCs w:val="22"/>
        </w:rPr>
      </w:pPr>
      <w:r w:rsidRPr="00A23AF9">
        <w:rPr>
          <w:sz w:val="22"/>
          <w:szCs w:val="22"/>
        </w:rPr>
        <w:t>Dr. Suh authored, co-authored or edited 3 books and about 50 peer-reviewed journal articles, and his publications include some of the most widely cited ones in the field.</w:t>
      </w:r>
    </w:p>
    <w:sectPr w:rsidR="00A23AF9" w:rsidRPr="00A8132F" w:rsidSect="00A44BA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32F" w:rsidRDefault="00A8132F" w:rsidP="0076213C">
      <w:r>
        <w:separator/>
      </w:r>
    </w:p>
  </w:endnote>
  <w:endnote w:type="continuationSeparator" w:id="0">
    <w:p w:rsidR="00A8132F" w:rsidRDefault="00A8132F" w:rsidP="0076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32F" w:rsidRDefault="00A8132F" w:rsidP="0076213C">
      <w:r>
        <w:separator/>
      </w:r>
    </w:p>
  </w:footnote>
  <w:footnote w:type="continuationSeparator" w:id="0">
    <w:p w:rsidR="00A8132F" w:rsidRDefault="00A8132F" w:rsidP="007621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D2869"/>
    <w:multiLevelType w:val="multilevel"/>
    <w:tmpl w:val="30825DB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13C"/>
    <w:rsid w:val="0001337D"/>
    <w:rsid w:val="00047D82"/>
    <w:rsid w:val="000548A2"/>
    <w:rsid w:val="000949DE"/>
    <w:rsid w:val="000C5091"/>
    <w:rsid w:val="00106AD9"/>
    <w:rsid w:val="00145E5F"/>
    <w:rsid w:val="00155B2C"/>
    <w:rsid w:val="001A1D1B"/>
    <w:rsid w:val="001C60CB"/>
    <w:rsid w:val="001D2F89"/>
    <w:rsid w:val="00220116"/>
    <w:rsid w:val="002543D5"/>
    <w:rsid w:val="002671EE"/>
    <w:rsid w:val="002E5EC1"/>
    <w:rsid w:val="002F6F3F"/>
    <w:rsid w:val="00300C7C"/>
    <w:rsid w:val="00305129"/>
    <w:rsid w:val="0030564E"/>
    <w:rsid w:val="00310C7E"/>
    <w:rsid w:val="00372EC0"/>
    <w:rsid w:val="003B19E7"/>
    <w:rsid w:val="003C473C"/>
    <w:rsid w:val="003C4B50"/>
    <w:rsid w:val="003E218E"/>
    <w:rsid w:val="00401DD3"/>
    <w:rsid w:val="0041403C"/>
    <w:rsid w:val="00423CA5"/>
    <w:rsid w:val="00426143"/>
    <w:rsid w:val="00454AB9"/>
    <w:rsid w:val="00470588"/>
    <w:rsid w:val="00483279"/>
    <w:rsid w:val="004C620A"/>
    <w:rsid w:val="005458B1"/>
    <w:rsid w:val="00564B4E"/>
    <w:rsid w:val="00592B27"/>
    <w:rsid w:val="005A6242"/>
    <w:rsid w:val="005A7480"/>
    <w:rsid w:val="005B4D27"/>
    <w:rsid w:val="005E68AE"/>
    <w:rsid w:val="006216A7"/>
    <w:rsid w:val="006B21EE"/>
    <w:rsid w:val="006B253B"/>
    <w:rsid w:val="006C1567"/>
    <w:rsid w:val="006C62B1"/>
    <w:rsid w:val="00710EA0"/>
    <w:rsid w:val="0075571E"/>
    <w:rsid w:val="0076213C"/>
    <w:rsid w:val="00772511"/>
    <w:rsid w:val="00784C9D"/>
    <w:rsid w:val="007B120C"/>
    <w:rsid w:val="007D220C"/>
    <w:rsid w:val="007D32B3"/>
    <w:rsid w:val="007F5D1A"/>
    <w:rsid w:val="00826E4F"/>
    <w:rsid w:val="00856F1C"/>
    <w:rsid w:val="00871812"/>
    <w:rsid w:val="00886C43"/>
    <w:rsid w:val="00894E73"/>
    <w:rsid w:val="008C5248"/>
    <w:rsid w:val="008D0129"/>
    <w:rsid w:val="008E6520"/>
    <w:rsid w:val="00907614"/>
    <w:rsid w:val="009137EE"/>
    <w:rsid w:val="0091495F"/>
    <w:rsid w:val="00917141"/>
    <w:rsid w:val="00927E24"/>
    <w:rsid w:val="00940B00"/>
    <w:rsid w:val="009938E4"/>
    <w:rsid w:val="009C59B1"/>
    <w:rsid w:val="00A20FD9"/>
    <w:rsid w:val="00A23AF9"/>
    <w:rsid w:val="00A44BAB"/>
    <w:rsid w:val="00A8132F"/>
    <w:rsid w:val="00AC2236"/>
    <w:rsid w:val="00AF4204"/>
    <w:rsid w:val="00B24DBA"/>
    <w:rsid w:val="00B42A2F"/>
    <w:rsid w:val="00B53704"/>
    <w:rsid w:val="00B925C3"/>
    <w:rsid w:val="00BC47AD"/>
    <w:rsid w:val="00BE34B8"/>
    <w:rsid w:val="00C76D64"/>
    <w:rsid w:val="00C775B3"/>
    <w:rsid w:val="00C912AD"/>
    <w:rsid w:val="00CC7AF3"/>
    <w:rsid w:val="00CD0ED1"/>
    <w:rsid w:val="00CD65CC"/>
    <w:rsid w:val="00CE7415"/>
    <w:rsid w:val="00D23E69"/>
    <w:rsid w:val="00D26FFA"/>
    <w:rsid w:val="00D7016F"/>
    <w:rsid w:val="00D71EAD"/>
    <w:rsid w:val="00DE5ACD"/>
    <w:rsid w:val="00E02F14"/>
    <w:rsid w:val="00E078E1"/>
    <w:rsid w:val="00E14356"/>
    <w:rsid w:val="00EA7EEF"/>
    <w:rsid w:val="00ED2CAA"/>
    <w:rsid w:val="00EE4282"/>
    <w:rsid w:val="00F07557"/>
    <w:rsid w:val="00F40C7C"/>
    <w:rsid w:val="00F5487C"/>
    <w:rsid w:val="00F70E2A"/>
    <w:rsid w:val="00FA4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ECB72E2E-E815-4B38-8487-71500C61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16F"/>
    <w:pPr>
      <w:spacing w:after="0" w:line="240" w:lineRule="auto"/>
    </w:pPr>
  </w:style>
  <w:style w:type="paragraph" w:styleId="Heading1">
    <w:name w:val="heading 1"/>
    <w:basedOn w:val="Normal"/>
    <w:next w:val="Normal"/>
    <w:link w:val="Heading1Char"/>
    <w:uiPriority w:val="9"/>
    <w:qFormat/>
    <w:rsid w:val="000548A2"/>
    <w:pPr>
      <w:keepNext/>
      <w:keepLines/>
      <w:numPr>
        <w:numId w:val="9"/>
      </w:numPr>
      <w:spacing w:before="600" w:after="120" w:line="276" w:lineRule="auto"/>
      <w:jc w:val="both"/>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0548A2"/>
    <w:pPr>
      <w:keepNext/>
      <w:keepLines/>
      <w:numPr>
        <w:ilvl w:val="1"/>
        <w:numId w:val="9"/>
      </w:numPr>
      <w:spacing w:before="200" w:line="276" w:lineRule="auto"/>
      <w:jc w:val="both"/>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8A2"/>
    <w:pPr>
      <w:keepNext/>
      <w:keepLines/>
      <w:numPr>
        <w:ilvl w:val="2"/>
        <w:numId w:val="9"/>
      </w:numPr>
      <w:spacing w:before="200" w:line="276" w:lineRule="auto"/>
      <w:jc w:val="both"/>
      <w:outlineLvl w:val="2"/>
    </w:pPr>
    <w:rPr>
      <w:rFonts w:asciiTheme="majorHAnsi" w:eastAsiaTheme="majorEastAsia" w:hAnsiTheme="majorHAnsi" w:cstheme="majorBidi"/>
      <w:b/>
      <w:bCs/>
      <w:szCs w:val="22"/>
    </w:rPr>
  </w:style>
  <w:style w:type="paragraph" w:styleId="Heading4">
    <w:name w:val="heading 4"/>
    <w:basedOn w:val="Normal"/>
    <w:next w:val="Normal"/>
    <w:link w:val="Heading4Char"/>
    <w:uiPriority w:val="9"/>
    <w:semiHidden/>
    <w:unhideWhenUsed/>
    <w:qFormat/>
    <w:rsid w:val="000548A2"/>
    <w:pPr>
      <w:keepNext/>
      <w:keepLines/>
      <w:numPr>
        <w:ilvl w:val="3"/>
        <w:numId w:val="9"/>
      </w:numPr>
      <w:spacing w:before="200" w:line="276" w:lineRule="auto"/>
      <w:jc w:val="both"/>
      <w:outlineLvl w:val="3"/>
    </w:pPr>
    <w:rPr>
      <w:rFonts w:asciiTheme="majorHAnsi" w:eastAsiaTheme="majorEastAsia" w:hAnsiTheme="majorHAnsi" w:cstheme="majorBidi"/>
      <w:b/>
      <w:bCs/>
      <w:i/>
      <w:iCs/>
      <w:szCs w:val="22"/>
    </w:rPr>
  </w:style>
  <w:style w:type="paragraph" w:styleId="Heading5">
    <w:name w:val="heading 5"/>
    <w:basedOn w:val="Normal"/>
    <w:next w:val="Normal"/>
    <w:link w:val="Heading5Char"/>
    <w:uiPriority w:val="9"/>
    <w:semiHidden/>
    <w:unhideWhenUsed/>
    <w:qFormat/>
    <w:rsid w:val="000548A2"/>
    <w:pPr>
      <w:keepNext/>
      <w:keepLines/>
      <w:numPr>
        <w:ilvl w:val="4"/>
        <w:numId w:val="9"/>
      </w:numPr>
      <w:spacing w:before="200" w:line="276" w:lineRule="auto"/>
      <w:jc w:val="both"/>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semiHidden/>
    <w:unhideWhenUsed/>
    <w:qFormat/>
    <w:rsid w:val="000548A2"/>
    <w:pPr>
      <w:keepNext/>
      <w:keepLines/>
      <w:numPr>
        <w:ilvl w:val="5"/>
        <w:numId w:val="9"/>
      </w:numPr>
      <w:spacing w:before="200" w:line="276" w:lineRule="auto"/>
      <w:jc w:val="both"/>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iPriority w:val="9"/>
    <w:semiHidden/>
    <w:unhideWhenUsed/>
    <w:qFormat/>
    <w:rsid w:val="000548A2"/>
    <w:pPr>
      <w:keepNext/>
      <w:keepLines/>
      <w:numPr>
        <w:ilvl w:val="6"/>
        <w:numId w:val="9"/>
      </w:numPr>
      <w:spacing w:before="200" w:line="276" w:lineRule="auto"/>
      <w:jc w:val="both"/>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semiHidden/>
    <w:unhideWhenUsed/>
    <w:qFormat/>
    <w:rsid w:val="000548A2"/>
    <w:pPr>
      <w:keepNext/>
      <w:keepLines/>
      <w:numPr>
        <w:ilvl w:val="7"/>
        <w:numId w:val="9"/>
      </w:numPr>
      <w:spacing w:before="200" w:line="276" w:lineRule="auto"/>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548A2"/>
    <w:pPr>
      <w:keepNext/>
      <w:keepLines/>
      <w:numPr>
        <w:ilvl w:val="8"/>
        <w:numId w:val="1"/>
      </w:numPr>
      <w:spacing w:before="20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8A2"/>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0548A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8A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8A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8A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548A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548A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48A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548A2"/>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0548A2"/>
    <w:pPr>
      <w:numPr>
        <w:ilvl w:val="1"/>
      </w:numPr>
      <w:spacing w:after="200" w:line="276" w:lineRule="auto"/>
      <w:jc w:val="both"/>
    </w:pPr>
    <w:rPr>
      <w:rFonts w:asciiTheme="majorHAnsi" w:eastAsiaTheme="majorEastAsia" w:hAnsiTheme="majorHAnsi" w:cstheme="majorBidi"/>
      <w:i/>
      <w:iCs/>
      <w:spacing w:val="15"/>
      <w:szCs w:val="22"/>
    </w:rPr>
  </w:style>
  <w:style w:type="character" w:customStyle="1" w:styleId="SubtitleChar">
    <w:name w:val="Subtitle Char"/>
    <w:basedOn w:val="DefaultParagraphFont"/>
    <w:link w:val="Subtitle"/>
    <w:uiPriority w:val="11"/>
    <w:rsid w:val="000548A2"/>
    <w:rPr>
      <w:rFonts w:asciiTheme="majorHAnsi" w:eastAsiaTheme="majorEastAsia" w:hAnsiTheme="majorHAnsi" w:cstheme="majorBidi"/>
      <w:i/>
      <w:iCs/>
      <w:spacing w:val="15"/>
    </w:rPr>
  </w:style>
  <w:style w:type="paragraph" w:styleId="IntenseQuote">
    <w:name w:val="Intense Quote"/>
    <w:basedOn w:val="Normal"/>
    <w:next w:val="Normal"/>
    <w:link w:val="IntenseQuoteChar"/>
    <w:uiPriority w:val="30"/>
    <w:qFormat/>
    <w:rsid w:val="000548A2"/>
    <w:pPr>
      <w:pBdr>
        <w:bottom w:val="single" w:sz="4" w:space="4" w:color="4F81BD" w:themeColor="accent1"/>
      </w:pBdr>
      <w:spacing w:before="200" w:after="280" w:line="276" w:lineRule="auto"/>
      <w:ind w:left="936" w:right="936"/>
      <w:jc w:val="both"/>
    </w:pPr>
    <w:rPr>
      <w:rFonts w:eastAsiaTheme="minorEastAsia"/>
      <w:b/>
      <w:bCs/>
      <w:i/>
      <w:iCs/>
      <w:szCs w:val="22"/>
    </w:rPr>
  </w:style>
  <w:style w:type="character" w:customStyle="1" w:styleId="IntenseQuoteChar">
    <w:name w:val="Intense Quote Char"/>
    <w:basedOn w:val="DefaultParagraphFont"/>
    <w:link w:val="IntenseQuote"/>
    <w:uiPriority w:val="30"/>
    <w:rsid w:val="000548A2"/>
    <w:rPr>
      <w:b/>
      <w:bCs/>
      <w:i/>
      <w:iCs/>
    </w:rPr>
  </w:style>
  <w:style w:type="character" w:styleId="IntenseEmphasis">
    <w:name w:val="Intense Emphasis"/>
    <w:basedOn w:val="DefaultParagraphFont"/>
    <w:uiPriority w:val="21"/>
    <w:qFormat/>
    <w:rsid w:val="000548A2"/>
    <w:rPr>
      <w:b/>
      <w:bCs/>
      <w:i/>
      <w:iCs/>
      <w:color w:val="auto"/>
    </w:rPr>
  </w:style>
  <w:style w:type="character" w:styleId="SubtleReference">
    <w:name w:val="Subtle Reference"/>
    <w:basedOn w:val="DefaultParagraphFont"/>
    <w:uiPriority w:val="31"/>
    <w:qFormat/>
    <w:rsid w:val="000548A2"/>
    <w:rPr>
      <w:smallCaps/>
      <w:color w:val="auto"/>
      <w:u w:val="single"/>
    </w:rPr>
  </w:style>
  <w:style w:type="character" w:styleId="IntenseReference">
    <w:name w:val="Intense Reference"/>
    <w:basedOn w:val="DefaultParagraphFont"/>
    <w:uiPriority w:val="32"/>
    <w:qFormat/>
    <w:rsid w:val="000548A2"/>
    <w:rPr>
      <w:b/>
      <w:bCs/>
      <w:smallCaps/>
      <w:color w:val="auto"/>
      <w:spacing w:val="5"/>
      <w:u w:val="single"/>
    </w:rPr>
  </w:style>
  <w:style w:type="paragraph" w:styleId="Header">
    <w:name w:val="header"/>
    <w:basedOn w:val="Normal"/>
    <w:link w:val="HeaderChar"/>
    <w:rsid w:val="0076213C"/>
    <w:pPr>
      <w:tabs>
        <w:tab w:val="center" w:pos="4680"/>
        <w:tab w:val="right" w:pos="9360"/>
      </w:tabs>
    </w:pPr>
  </w:style>
  <w:style w:type="character" w:customStyle="1" w:styleId="HeaderChar">
    <w:name w:val="Header Char"/>
    <w:basedOn w:val="DefaultParagraphFont"/>
    <w:link w:val="Header"/>
    <w:rsid w:val="0076213C"/>
    <w:rPr>
      <w:rFonts w:eastAsia="Times New Roman" w:cs="Times New Roman"/>
      <w:szCs w:val="24"/>
    </w:rPr>
  </w:style>
  <w:style w:type="paragraph" w:styleId="BalloonText">
    <w:name w:val="Balloon Text"/>
    <w:basedOn w:val="Normal"/>
    <w:link w:val="BalloonTextChar"/>
    <w:uiPriority w:val="99"/>
    <w:semiHidden/>
    <w:unhideWhenUsed/>
    <w:rsid w:val="0076213C"/>
    <w:rPr>
      <w:rFonts w:ascii="Tahoma" w:hAnsi="Tahoma" w:cs="Tahoma"/>
      <w:sz w:val="16"/>
      <w:szCs w:val="16"/>
    </w:rPr>
  </w:style>
  <w:style w:type="character" w:customStyle="1" w:styleId="BalloonTextChar">
    <w:name w:val="Balloon Text Char"/>
    <w:basedOn w:val="DefaultParagraphFont"/>
    <w:link w:val="BalloonText"/>
    <w:uiPriority w:val="99"/>
    <w:semiHidden/>
    <w:rsid w:val="0076213C"/>
    <w:rPr>
      <w:rFonts w:ascii="Tahoma" w:eastAsia="Times New Roman" w:hAnsi="Tahoma" w:cs="Tahoma"/>
      <w:sz w:val="16"/>
      <w:szCs w:val="16"/>
    </w:rPr>
  </w:style>
  <w:style w:type="paragraph" w:styleId="Footer">
    <w:name w:val="footer"/>
    <w:basedOn w:val="Normal"/>
    <w:link w:val="FooterChar"/>
    <w:uiPriority w:val="99"/>
    <w:unhideWhenUsed/>
    <w:rsid w:val="0076213C"/>
    <w:pPr>
      <w:tabs>
        <w:tab w:val="center" w:pos="4680"/>
        <w:tab w:val="right" w:pos="9360"/>
      </w:tabs>
    </w:pPr>
  </w:style>
  <w:style w:type="character" w:customStyle="1" w:styleId="FooterChar">
    <w:name w:val="Footer Char"/>
    <w:basedOn w:val="DefaultParagraphFont"/>
    <w:link w:val="Footer"/>
    <w:uiPriority w:val="99"/>
    <w:rsid w:val="0076213C"/>
    <w:rPr>
      <w:rFonts w:eastAsia="Times New Roman" w:cs="Times New Roman"/>
      <w:szCs w:val="24"/>
    </w:rPr>
  </w:style>
  <w:style w:type="paragraph" w:styleId="BodyTextIndent">
    <w:name w:val="Body Text Indent"/>
    <w:basedOn w:val="Normal"/>
    <w:link w:val="BodyTextIndentChar"/>
    <w:qFormat/>
    <w:rsid w:val="007F5D1A"/>
    <w:pPr>
      <w:suppressAutoHyphens/>
      <w:overflowPunct w:val="0"/>
      <w:autoSpaceDE w:val="0"/>
      <w:autoSpaceDN w:val="0"/>
      <w:adjustRightInd w:val="0"/>
      <w:ind w:firstLine="360"/>
      <w:jc w:val="both"/>
      <w:textAlignment w:val="baseline"/>
    </w:pPr>
    <w:rPr>
      <w:kern w:val="14"/>
      <w:sz w:val="22"/>
      <w:szCs w:val="20"/>
    </w:rPr>
  </w:style>
  <w:style w:type="character" w:customStyle="1" w:styleId="BodyTextIndentChar">
    <w:name w:val="Body Text Indent Char"/>
    <w:basedOn w:val="DefaultParagraphFont"/>
    <w:link w:val="BodyTextIndent"/>
    <w:rsid w:val="007F5D1A"/>
    <w:rPr>
      <w:rFonts w:eastAsia="Times New Roman" w:cs="Times New Roman"/>
      <w:kern w:val="14"/>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C7056378</Template>
  <TotalTime>3</TotalTime>
  <Pages>1</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cassandra@utexas.edu</dc:creator>
  <cp:lastModifiedBy>Finney, Patricia Jean</cp:lastModifiedBy>
  <cp:revision>5</cp:revision>
  <cp:lastPrinted>2016-01-15T15:37:00Z</cp:lastPrinted>
  <dcterms:created xsi:type="dcterms:W3CDTF">2016-01-14T13:13:00Z</dcterms:created>
  <dcterms:modified xsi:type="dcterms:W3CDTF">2016-01-15T15:44:00Z</dcterms:modified>
</cp:coreProperties>
</file>