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E5E0" w14:textId="77777777" w:rsidR="00295E59" w:rsidRDefault="00295E59" w:rsidP="00295E59">
      <w:pPr>
        <w:pStyle w:val="BodyText"/>
        <w:spacing w:before="73" w:line="244" w:lineRule="auto"/>
        <w:ind w:left="119" w:right="172"/>
        <w:rPr>
          <w:rFonts w:ascii="Arial"/>
        </w:rPr>
      </w:pPr>
      <w:r>
        <w:rPr>
          <w:b/>
        </w:rPr>
        <w:t>Brenda</w:t>
      </w:r>
      <w:r>
        <w:rPr>
          <w:b/>
          <w:spacing w:val="-1"/>
        </w:rPr>
        <w:t xml:space="preserve"> </w:t>
      </w:r>
      <w:r>
        <w:rPr>
          <w:b/>
        </w:rPr>
        <w:t>Capobianco</w:t>
      </w:r>
      <w:r>
        <w:rPr>
          <w:b/>
          <w:spacing w:val="-3"/>
        </w:rPr>
        <w:t xml:space="preserve"> </w:t>
      </w:r>
      <w:r>
        <w:t>(NSF</w:t>
      </w:r>
      <w:r>
        <w:rPr>
          <w:spacing w:val="-2"/>
        </w:rPr>
        <w:t xml:space="preserve"> </w:t>
      </w:r>
      <w:r>
        <w:t>Award</w:t>
      </w:r>
      <w:r>
        <w:rPr>
          <w:spacing w:val="-2"/>
        </w:rPr>
        <w:t xml:space="preserve"> </w:t>
      </w:r>
      <w:r>
        <w:t>#1626197,</w:t>
      </w:r>
      <w:r>
        <w:rPr>
          <w:spacing w:val="-1"/>
        </w:rPr>
        <w:t xml:space="preserve"> </w:t>
      </w:r>
      <w:r>
        <w:t>Using</w:t>
      </w:r>
      <w:r>
        <w:rPr>
          <w:spacing w:val="-3"/>
        </w:rPr>
        <w:t xml:space="preserve"> </w:t>
      </w:r>
      <w:r>
        <w:t>Engineering</w:t>
      </w:r>
      <w:r>
        <w:rPr>
          <w:spacing w:val="-4"/>
        </w:rPr>
        <w:t xml:space="preserve"> </w:t>
      </w:r>
      <w:r>
        <w:t>Principles</w:t>
      </w:r>
      <w:r>
        <w:rPr>
          <w:spacing w:val="-3"/>
        </w:rPr>
        <w:t xml:space="preserve"> </w:t>
      </w:r>
      <w:r>
        <w:t xml:space="preserve">of Design to Advance Teacher Education of Prospective Elementary Teachers) </w:t>
      </w:r>
      <w:hyperlink r:id="rId5">
        <w:r>
          <w:rPr>
            <w:rFonts w:ascii="Arial"/>
            <w:color w:val="0000FF"/>
            <w:spacing w:val="-6"/>
            <w:u w:val="single" w:color="0000FF"/>
          </w:rPr>
          <w:t>https://www.nsf.gov/awardsearch/showAward?AWD_ID=1626197&amp;HistoricalAwards=false</w:t>
        </w:r>
      </w:hyperlink>
    </w:p>
    <w:p w14:paraId="3EAA8E21" w14:textId="77777777" w:rsidR="00295E59" w:rsidRDefault="00295E59" w:rsidP="00295E59">
      <w:pPr>
        <w:pStyle w:val="BodyText"/>
        <w:ind w:left="0"/>
        <w:rPr>
          <w:rFonts w:ascii="Arial"/>
        </w:rPr>
      </w:pPr>
    </w:p>
    <w:p w14:paraId="301B53F8" w14:textId="7D58EB73" w:rsidR="00295E59" w:rsidRDefault="00295E59" w:rsidP="00295E59">
      <w:pPr>
        <w:pStyle w:val="BodyText"/>
        <w:spacing w:before="6"/>
        <w:ind w:left="0"/>
        <w:rPr>
          <w:rFonts w:ascii="Arial"/>
        </w:rPr>
      </w:pPr>
      <w:r>
        <w:rPr>
          <w:rFonts w:ascii="Arial"/>
        </w:rPr>
        <w:t>COLOR CODED EXAMPLE</w:t>
      </w:r>
    </w:p>
    <w:p w14:paraId="23710B9D" w14:textId="77777777" w:rsidR="00295E59" w:rsidRDefault="00295E59" w:rsidP="00295E59">
      <w:pPr>
        <w:pStyle w:val="Heading1"/>
      </w:pPr>
      <w:r>
        <w:t>Step</w:t>
      </w:r>
      <w:r>
        <w:rPr>
          <w:spacing w:val="-5"/>
        </w:rPr>
        <w:t xml:space="preserve"> </w:t>
      </w:r>
      <w:r>
        <w:t>1:</w:t>
      </w:r>
      <w:r>
        <w:rPr>
          <w:spacing w:val="-3"/>
        </w:rPr>
        <w:t xml:space="preserve"> </w:t>
      </w:r>
      <w:r>
        <w:t>Develop</w:t>
      </w:r>
      <w:r>
        <w:rPr>
          <w:spacing w:val="-7"/>
        </w:rPr>
        <w:t xml:space="preserve"> </w:t>
      </w:r>
      <w:r>
        <w:t>phrase</w:t>
      </w:r>
      <w:r>
        <w:rPr>
          <w:spacing w:val="-2"/>
        </w:rPr>
        <w:t xml:space="preserve"> </w:t>
      </w:r>
      <w:r>
        <w:t>answers</w:t>
      </w:r>
      <w:r>
        <w:rPr>
          <w:spacing w:val="-4"/>
        </w:rPr>
        <w:t xml:space="preserve"> </w:t>
      </w:r>
      <w:r>
        <w:t>to</w:t>
      </w:r>
      <w:r>
        <w:rPr>
          <w:spacing w:val="-3"/>
        </w:rPr>
        <w:t xml:space="preserve"> </w:t>
      </w:r>
      <w:r>
        <w:t>these</w:t>
      </w:r>
      <w:r>
        <w:rPr>
          <w:spacing w:val="-5"/>
        </w:rPr>
        <w:t xml:space="preserve"> </w:t>
      </w:r>
      <w:r>
        <w:t>logic</w:t>
      </w:r>
      <w:r>
        <w:rPr>
          <w:spacing w:val="-6"/>
        </w:rPr>
        <w:t xml:space="preserve"> </w:t>
      </w:r>
      <w:r>
        <w:t>flow</w:t>
      </w:r>
      <w:r>
        <w:rPr>
          <w:spacing w:val="1"/>
        </w:rPr>
        <w:t xml:space="preserve"> </w:t>
      </w:r>
      <w:r>
        <w:rPr>
          <w:spacing w:val="-2"/>
        </w:rPr>
        <w:t>questions</w:t>
      </w:r>
    </w:p>
    <w:p w14:paraId="42D75A8E" w14:textId="77777777" w:rsidR="00295E59" w:rsidRPr="00295E59" w:rsidRDefault="00295E59" w:rsidP="00295E59">
      <w:pPr>
        <w:pStyle w:val="BodyText"/>
        <w:spacing w:before="247"/>
        <w:ind w:left="119"/>
        <w:rPr>
          <w:color w:val="FF0000"/>
        </w:rPr>
      </w:pPr>
      <w:r w:rsidRPr="00295E59">
        <w:rPr>
          <w:color w:val="FF0000"/>
        </w:rPr>
        <w:t>What</w:t>
      </w:r>
      <w:r w:rsidRPr="00295E59">
        <w:rPr>
          <w:color w:val="FF0000"/>
          <w:spacing w:val="-2"/>
        </w:rPr>
        <w:t xml:space="preserve"> </w:t>
      </w:r>
      <w:r w:rsidRPr="00295E59">
        <w:rPr>
          <w:color w:val="FF0000"/>
        </w:rPr>
        <w:t>is</w:t>
      </w:r>
      <w:r w:rsidRPr="00295E59">
        <w:rPr>
          <w:color w:val="FF0000"/>
          <w:spacing w:val="-2"/>
        </w:rPr>
        <w:t xml:space="preserve"> </w:t>
      </w:r>
      <w:r w:rsidRPr="00295E59">
        <w:rPr>
          <w:color w:val="FF0000"/>
        </w:rPr>
        <w:t>the</w:t>
      </w:r>
      <w:r w:rsidRPr="00295E59">
        <w:rPr>
          <w:color w:val="FF0000"/>
          <w:spacing w:val="-2"/>
        </w:rPr>
        <w:t xml:space="preserve"> Problem?</w:t>
      </w:r>
    </w:p>
    <w:p w14:paraId="5AB9CF3A" w14:textId="77777777" w:rsidR="00295E59" w:rsidRPr="00295E59" w:rsidRDefault="00295E59" w:rsidP="00295E59">
      <w:pPr>
        <w:pStyle w:val="ListParagraph"/>
        <w:numPr>
          <w:ilvl w:val="0"/>
          <w:numId w:val="1"/>
        </w:numPr>
        <w:tabs>
          <w:tab w:val="left" w:pos="840"/>
          <w:tab w:val="left" w:pos="841"/>
        </w:tabs>
        <w:spacing w:line="249" w:lineRule="auto"/>
        <w:ind w:right="594"/>
        <w:rPr>
          <w:color w:val="FF0000"/>
        </w:rPr>
      </w:pPr>
      <w:r w:rsidRPr="00295E59">
        <w:rPr>
          <w:color w:val="FF0000"/>
          <w:w w:val="90"/>
        </w:rPr>
        <w:t xml:space="preserve">Next generation standards highlight integration of engineering and technology into science </w:t>
      </w:r>
      <w:r w:rsidRPr="00295E59">
        <w:rPr>
          <w:color w:val="FF0000"/>
          <w:spacing w:val="-2"/>
        </w:rPr>
        <w:t>education</w:t>
      </w:r>
    </w:p>
    <w:p w14:paraId="254FD584" w14:textId="77777777" w:rsidR="00295E59" w:rsidRPr="00295E59" w:rsidRDefault="00295E59" w:rsidP="00295E59">
      <w:pPr>
        <w:pStyle w:val="ListParagraph"/>
        <w:numPr>
          <w:ilvl w:val="0"/>
          <w:numId w:val="1"/>
        </w:numPr>
        <w:tabs>
          <w:tab w:val="left" w:pos="840"/>
          <w:tab w:val="left" w:pos="841"/>
        </w:tabs>
        <w:spacing w:before="6" w:line="252" w:lineRule="auto"/>
        <w:ind w:right="259"/>
        <w:rPr>
          <w:color w:val="FF0000"/>
        </w:rPr>
      </w:pPr>
      <w:r w:rsidRPr="00295E59">
        <w:rPr>
          <w:color w:val="FF0000"/>
          <w:spacing w:val="-6"/>
        </w:rPr>
        <w:t>However,</w:t>
      </w:r>
      <w:r w:rsidRPr="00295E59">
        <w:rPr>
          <w:color w:val="FF0000"/>
          <w:spacing w:val="-11"/>
        </w:rPr>
        <w:t xml:space="preserve"> </w:t>
      </w:r>
      <w:r w:rsidRPr="00295E59">
        <w:rPr>
          <w:color w:val="FF0000"/>
          <w:spacing w:val="-6"/>
        </w:rPr>
        <w:t>current</w:t>
      </w:r>
      <w:r w:rsidRPr="00295E59">
        <w:rPr>
          <w:color w:val="FF0000"/>
          <w:spacing w:val="-13"/>
        </w:rPr>
        <w:t xml:space="preserve"> </w:t>
      </w:r>
      <w:r w:rsidRPr="00295E59">
        <w:rPr>
          <w:color w:val="FF0000"/>
          <w:spacing w:val="-6"/>
        </w:rPr>
        <w:t>K-12</w:t>
      </w:r>
      <w:r w:rsidRPr="00295E59">
        <w:rPr>
          <w:color w:val="FF0000"/>
          <w:spacing w:val="-13"/>
        </w:rPr>
        <w:t xml:space="preserve"> </w:t>
      </w:r>
      <w:r w:rsidRPr="00295E59">
        <w:rPr>
          <w:color w:val="FF0000"/>
          <w:spacing w:val="-6"/>
        </w:rPr>
        <w:t>science</w:t>
      </w:r>
      <w:r w:rsidRPr="00295E59">
        <w:rPr>
          <w:color w:val="FF0000"/>
          <w:spacing w:val="-11"/>
        </w:rPr>
        <w:t xml:space="preserve"> </w:t>
      </w:r>
      <w:r w:rsidRPr="00295E59">
        <w:rPr>
          <w:color w:val="FF0000"/>
          <w:spacing w:val="-6"/>
        </w:rPr>
        <w:t>curriculum/pedagogy</w:t>
      </w:r>
      <w:r w:rsidRPr="00295E59">
        <w:rPr>
          <w:color w:val="FF0000"/>
          <w:spacing w:val="-11"/>
        </w:rPr>
        <w:t xml:space="preserve"> </w:t>
      </w:r>
      <w:r w:rsidRPr="00295E59">
        <w:rPr>
          <w:color w:val="FF0000"/>
          <w:spacing w:val="-6"/>
        </w:rPr>
        <w:t>does</w:t>
      </w:r>
      <w:r w:rsidRPr="00295E59">
        <w:rPr>
          <w:color w:val="FF0000"/>
          <w:spacing w:val="-11"/>
        </w:rPr>
        <w:t xml:space="preserve"> </w:t>
      </w:r>
      <w:r w:rsidRPr="00295E59">
        <w:rPr>
          <w:color w:val="FF0000"/>
          <w:spacing w:val="-6"/>
        </w:rPr>
        <w:t>not</w:t>
      </w:r>
      <w:r w:rsidRPr="00295E59">
        <w:rPr>
          <w:color w:val="FF0000"/>
          <w:spacing w:val="-13"/>
        </w:rPr>
        <w:t xml:space="preserve"> </w:t>
      </w:r>
      <w:r w:rsidRPr="00295E59">
        <w:rPr>
          <w:color w:val="FF0000"/>
          <w:spacing w:val="-6"/>
        </w:rPr>
        <w:t>equip</w:t>
      </w:r>
      <w:r w:rsidRPr="00295E59">
        <w:rPr>
          <w:color w:val="FF0000"/>
          <w:spacing w:val="-12"/>
        </w:rPr>
        <w:t xml:space="preserve"> </w:t>
      </w:r>
      <w:r w:rsidRPr="00295E59">
        <w:rPr>
          <w:color w:val="FF0000"/>
          <w:spacing w:val="-6"/>
        </w:rPr>
        <w:t>teachers</w:t>
      </w:r>
      <w:r w:rsidRPr="00295E59">
        <w:rPr>
          <w:color w:val="FF0000"/>
          <w:spacing w:val="-13"/>
        </w:rPr>
        <w:t xml:space="preserve"> </w:t>
      </w:r>
      <w:r w:rsidRPr="00295E59">
        <w:rPr>
          <w:color w:val="FF0000"/>
          <w:spacing w:val="-6"/>
        </w:rPr>
        <w:t>to</w:t>
      </w:r>
      <w:r w:rsidRPr="00295E59">
        <w:rPr>
          <w:color w:val="FF0000"/>
          <w:spacing w:val="-12"/>
        </w:rPr>
        <w:t xml:space="preserve"> </w:t>
      </w:r>
      <w:r w:rsidRPr="00295E59">
        <w:rPr>
          <w:color w:val="FF0000"/>
          <w:spacing w:val="-6"/>
        </w:rPr>
        <w:t xml:space="preserve">include </w:t>
      </w:r>
      <w:r w:rsidRPr="00295E59">
        <w:rPr>
          <w:color w:val="FF0000"/>
          <w:w w:val="90"/>
        </w:rPr>
        <w:t xml:space="preserve">engineering in their classroom. Particularly a problem at elementary level where teachers have </w:t>
      </w:r>
      <w:r w:rsidRPr="00295E59">
        <w:rPr>
          <w:color w:val="FF0000"/>
          <w:spacing w:val="-6"/>
        </w:rPr>
        <w:t>less</w:t>
      </w:r>
      <w:r w:rsidRPr="00295E59">
        <w:rPr>
          <w:color w:val="FF0000"/>
          <w:spacing w:val="-7"/>
        </w:rPr>
        <w:t xml:space="preserve"> </w:t>
      </w:r>
      <w:r w:rsidRPr="00295E59">
        <w:rPr>
          <w:color w:val="FF0000"/>
          <w:spacing w:val="-6"/>
        </w:rPr>
        <w:t>preparation</w:t>
      </w:r>
      <w:r w:rsidRPr="00295E59">
        <w:rPr>
          <w:color w:val="FF0000"/>
          <w:spacing w:val="-9"/>
        </w:rPr>
        <w:t xml:space="preserve"> </w:t>
      </w:r>
      <w:r w:rsidRPr="00295E59">
        <w:rPr>
          <w:color w:val="FF0000"/>
          <w:spacing w:val="-6"/>
        </w:rPr>
        <w:t>in</w:t>
      </w:r>
      <w:r w:rsidRPr="00295E59">
        <w:rPr>
          <w:color w:val="FF0000"/>
          <w:spacing w:val="-9"/>
        </w:rPr>
        <w:t xml:space="preserve"> </w:t>
      </w:r>
      <w:r w:rsidRPr="00295E59">
        <w:rPr>
          <w:color w:val="FF0000"/>
          <w:spacing w:val="-6"/>
        </w:rPr>
        <w:t>science</w:t>
      </w:r>
      <w:r w:rsidRPr="00295E59">
        <w:rPr>
          <w:color w:val="FF0000"/>
          <w:spacing w:val="-10"/>
        </w:rPr>
        <w:t xml:space="preserve"> </w:t>
      </w:r>
      <w:r w:rsidRPr="00295E59">
        <w:rPr>
          <w:color w:val="FF0000"/>
          <w:spacing w:val="-6"/>
        </w:rPr>
        <w:t>and</w:t>
      </w:r>
      <w:r w:rsidRPr="00295E59">
        <w:rPr>
          <w:color w:val="FF0000"/>
          <w:spacing w:val="-9"/>
        </w:rPr>
        <w:t xml:space="preserve"> </w:t>
      </w:r>
      <w:r w:rsidRPr="00295E59">
        <w:rPr>
          <w:color w:val="FF0000"/>
          <w:spacing w:val="-6"/>
        </w:rPr>
        <w:t>no formal</w:t>
      </w:r>
      <w:r w:rsidRPr="00295E59">
        <w:rPr>
          <w:color w:val="FF0000"/>
          <w:spacing w:val="-11"/>
        </w:rPr>
        <w:t xml:space="preserve"> </w:t>
      </w:r>
      <w:r w:rsidRPr="00295E59">
        <w:rPr>
          <w:color w:val="FF0000"/>
          <w:spacing w:val="-6"/>
        </w:rPr>
        <w:t>exposure</w:t>
      </w:r>
      <w:r w:rsidRPr="00295E59">
        <w:rPr>
          <w:color w:val="FF0000"/>
          <w:spacing w:val="-10"/>
        </w:rPr>
        <w:t xml:space="preserve"> </w:t>
      </w:r>
      <w:r w:rsidRPr="00295E59">
        <w:rPr>
          <w:color w:val="FF0000"/>
          <w:spacing w:val="-6"/>
        </w:rPr>
        <w:t>to</w:t>
      </w:r>
      <w:r w:rsidRPr="00295E59">
        <w:rPr>
          <w:color w:val="FF0000"/>
          <w:spacing w:val="-12"/>
        </w:rPr>
        <w:t xml:space="preserve"> </w:t>
      </w:r>
      <w:r w:rsidRPr="00295E59">
        <w:rPr>
          <w:color w:val="FF0000"/>
          <w:spacing w:val="-6"/>
        </w:rPr>
        <w:t>engineering</w:t>
      </w:r>
    </w:p>
    <w:p w14:paraId="02BEDC95" w14:textId="77777777" w:rsidR="00295E59" w:rsidRDefault="00295E59" w:rsidP="00295E59">
      <w:pPr>
        <w:pStyle w:val="BodyText"/>
        <w:spacing w:before="4"/>
        <w:ind w:left="120"/>
      </w:pPr>
      <w:r>
        <w:rPr>
          <w:color w:val="00B050"/>
        </w:rPr>
        <w:t>What</w:t>
      </w:r>
      <w:r>
        <w:rPr>
          <w:color w:val="00B050"/>
          <w:spacing w:val="-4"/>
        </w:rPr>
        <w:t xml:space="preserve"> </w:t>
      </w:r>
      <w:r>
        <w:rPr>
          <w:color w:val="00B050"/>
        </w:rPr>
        <w:t>has</w:t>
      </w:r>
      <w:r>
        <w:rPr>
          <w:color w:val="00B050"/>
          <w:spacing w:val="-3"/>
        </w:rPr>
        <w:t xml:space="preserve"> </w:t>
      </w:r>
      <w:r>
        <w:rPr>
          <w:color w:val="00B050"/>
        </w:rPr>
        <w:t>been</w:t>
      </w:r>
      <w:r>
        <w:rPr>
          <w:color w:val="00B050"/>
          <w:spacing w:val="-4"/>
        </w:rPr>
        <w:t xml:space="preserve"> </w:t>
      </w:r>
      <w:r>
        <w:rPr>
          <w:color w:val="00B050"/>
        </w:rPr>
        <w:t>done</w:t>
      </w:r>
      <w:r>
        <w:rPr>
          <w:color w:val="00B050"/>
          <w:spacing w:val="-3"/>
        </w:rPr>
        <w:t xml:space="preserve"> </w:t>
      </w:r>
      <w:r>
        <w:rPr>
          <w:color w:val="00B050"/>
        </w:rPr>
        <w:t>already</w:t>
      </w:r>
      <w:r>
        <w:rPr>
          <w:color w:val="00B050"/>
          <w:spacing w:val="-4"/>
        </w:rPr>
        <w:t xml:space="preserve"> </w:t>
      </w:r>
      <w:r>
        <w:rPr>
          <w:color w:val="00B050"/>
        </w:rPr>
        <w:t>to</w:t>
      </w:r>
      <w:r>
        <w:rPr>
          <w:color w:val="00B050"/>
          <w:spacing w:val="-1"/>
        </w:rPr>
        <w:t xml:space="preserve"> </w:t>
      </w:r>
      <w:r>
        <w:rPr>
          <w:color w:val="00B050"/>
        </w:rPr>
        <w:t>address</w:t>
      </w:r>
      <w:r>
        <w:rPr>
          <w:color w:val="00B050"/>
          <w:spacing w:val="-3"/>
        </w:rPr>
        <w:t xml:space="preserve"> </w:t>
      </w:r>
      <w:r>
        <w:rPr>
          <w:color w:val="00B050"/>
        </w:rPr>
        <w:t>this</w:t>
      </w:r>
      <w:r>
        <w:rPr>
          <w:color w:val="00B050"/>
          <w:spacing w:val="-1"/>
        </w:rPr>
        <w:t xml:space="preserve"> </w:t>
      </w:r>
      <w:r>
        <w:rPr>
          <w:color w:val="00B050"/>
          <w:spacing w:val="-2"/>
        </w:rPr>
        <w:t>problem?</w:t>
      </w:r>
    </w:p>
    <w:p w14:paraId="6F20F95F" w14:textId="77777777" w:rsidR="00295E59" w:rsidRDefault="00295E59" w:rsidP="00295E59">
      <w:pPr>
        <w:pStyle w:val="ListParagraph"/>
        <w:numPr>
          <w:ilvl w:val="0"/>
          <w:numId w:val="1"/>
        </w:numPr>
        <w:tabs>
          <w:tab w:val="left" w:pos="840"/>
          <w:tab w:val="left" w:pos="841"/>
        </w:tabs>
        <w:spacing w:line="254" w:lineRule="auto"/>
        <w:ind w:right="860"/>
      </w:pPr>
      <w:r>
        <w:rPr>
          <w:color w:val="00B050"/>
          <w:spacing w:val="-2"/>
          <w:w w:val="90"/>
        </w:rPr>
        <w:t xml:space="preserve">Texas </w:t>
      </w:r>
      <w:proofErr w:type="spellStart"/>
      <w:r>
        <w:rPr>
          <w:color w:val="00B050"/>
          <w:spacing w:val="-2"/>
          <w:w w:val="90"/>
        </w:rPr>
        <w:t>UTeach</w:t>
      </w:r>
      <w:proofErr w:type="spellEnd"/>
      <w:r>
        <w:rPr>
          <w:color w:val="00B050"/>
          <w:spacing w:val="-2"/>
          <w:w w:val="90"/>
        </w:rPr>
        <w:t xml:space="preserve">, Boston Museum of Science’s Engineering is Elementary, Purdue’s Science </w:t>
      </w:r>
      <w:r>
        <w:rPr>
          <w:color w:val="00B050"/>
          <w:spacing w:val="-6"/>
        </w:rPr>
        <w:t>Learning through Engineering Design</w:t>
      </w:r>
    </w:p>
    <w:p w14:paraId="5F0BA906" w14:textId="77777777" w:rsidR="00295E59" w:rsidRDefault="00295E59" w:rsidP="00295E59">
      <w:pPr>
        <w:pStyle w:val="ListParagraph"/>
        <w:numPr>
          <w:ilvl w:val="0"/>
          <w:numId w:val="1"/>
        </w:numPr>
        <w:tabs>
          <w:tab w:val="left" w:pos="840"/>
          <w:tab w:val="left" w:pos="841"/>
        </w:tabs>
        <w:spacing w:before="0" w:line="252" w:lineRule="exact"/>
      </w:pPr>
      <w:r>
        <w:rPr>
          <w:color w:val="00B050"/>
          <w:w w:val="90"/>
        </w:rPr>
        <w:t>Integrate</w:t>
      </w:r>
      <w:r>
        <w:rPr>
          <w:color w:val="00B050"/>
          <w:spacing w:val="-7"/>
        </w:rPr>
        <w:t xml:space="preserve"> </w:t>
      </w:r>
      <w:r>
        <w:rPr>
          <w:color w:val="00B050"/>
          <w:w w:val="90"/>
        </w:rPr>
        <w:t>engineering</w:t>
      </w:r>
      <w:r>
        <w:rPr>
          <w:color w:val="00B050"/>
          <w:spacing w:val="-4"/>
        </w:rPr>
        <w:t xml:space="preserve"> </w:t>
      </w:r>
      <w:r>
        <w:rPr>
          <w:color w:val="00B050"/>
          <w:w w:val="90"/>
        </w:rPr>
        <w:t>design</w:t>
      </w:r>
      <w:r>
        <w:rPr>
          <w:color w:val="00B050"/>
          <w:spacing w:val="-5"/>
        </w:rPr>
        <w:t xml:space="preserve"> </w:t>
      </w:r>
      <w:r>
        <w:rPr>
          <w:color w:val="00B050"/>
          <w:w w:val="90"/>
        </w:rPr>
        <w:t>for</w:t>
      </w:r>
      <w:r>
        <w:rPr>
          <w:color w:val="00B050"/>
          <w:spacing w:val="-1"/>
          <w:w w:val="90"/>
        </w:rPr>
        <w:t xml:space="preserve"> </w:t>
      </w:r>
      <w:proofErr w:type="spellStart"/>
      <w:r>
        <w:rPr>
          <w:b/>
          <w:color w:val="00B050"/>
          <w:w w:val="90"/>
        </w:rPr>
        <w:t>inservice</w:t>
      </w:r>
      <w:proofErr w:type="spellEnd"/>
      <w:r>
        <w:rPr>
          <w:b/>
          <w:color w:val="00B050"/>
          <w:spacing w:val="-5"/>
        </w:rPr>
        <w:t xml:space="preserve"> </w:t>
      </w:r>
      <w:r>
        <w:rPr>
          <w:color w:val="00B050"/>
          <w:w w:val="90"/>
        </w:rPr>
        <w:t>elementary</w:t>
      </w:r>
      <w:r>
        <w:rPr>
          <w:color w:val="00B050"/>
          <w:spacing w:val="-6"/>
        </w:rPr>
        <w:t xml:space="preserve"> </w:t>
      </w:r>
      <w:r>
        <w:rPr>
          <w:color w:val="00B050"/>
          <w:spacing w:val="-2"/>
          <w:w w:val="90"/>
        </w:rPr>
        <w:t>teacher</w:t>
      </w:r>
    </w:p>
    <w:p w14:paraId="5D603128" w14:textId="77777777" w:rsidR="00295E59" w:rsidRDefault="00295E59" w:rsidP="00295E59">
      <w:pPr>
        <w:pStyle w:val="ListParagraph"/>
        <w:numPr>
          <w:ilvl w:val="0"/>
          <w:numId w:val="1"/>
        </w:numPr>
        <w:tabs>
          <w:tab w:val="left" w:pos="840"/>
          <w:tab w:val="left" w:pos="841"/>
        </w:tabs>
        <w:spacing w:before="16"/>
      </w:pPr>
      <w:r>
        <w:rPr>
          <w:color w:val="00B050"/>
          <w:w w:val="90"/>
        </w:rPr>
        <w:t>strong</w:t>
      </w:r>
      <w:r>
        <w:rPr>
          <w:color w:val="00B050"/>
          <w:spacing w:val="16"/>
        </w:rPr>
        <w:t xml:space="preserve"> </w:t>
      </w:r>
      <w:r>
        <w:rPr>
          <w:color w:val="00B050"/>
          <w:w w:val="90"/>
        </w:rPr>
        <w:t>proof-of-concept</w:t>
      </w:r>
      <w:r>
        <w:rPr>
          <w:color w:val="00B050"/>
          <w:spacing w:val="15"/>
        </w:rPr>
        <w:t xml:space="preserve"> </w:t>
      </w:r>
      <w:r>
        <w:rPr>
          <w:color w:val="00B050"/>
          <w:w w:val="90"/>
        </w:rPr>
        <w:t>that</w:t>
      </w:r>
      <w:r>
        <w:rPr>
          <w:color w:val="00B050"/>
          <w:spacing w:val="17"/>
        </w:rPr>
        <w:t xml:space="preserve"> </w:t>
      </w:r>
      <w:r>
        <w:rPr>
          <w:color w:val="00B050"/>
          <w:w w:val="90"/>
        </w:rPr>
        <w:t>elementary</w:t>
      </w:r>
      <w:r>
        <w:rPr>
          <w:color w:val="00B050"/>
          <w:spacing w:val="15"/>
        </w:rPr>
        <w:t xml:space="preserve"> </w:t>
      </w:r>
      <w:r>
        <w:rPr>
          <w:color w:val="00B050"/>
          <w:w w:val="90"/>
        </w:rPr>
        <w:t>teachers</w:t>
      </w:r>
      <w:r>
        <w:rPr>
          <w:color w:val="00B050"/>
          <w:spacing w:val="13"/>
        </w:rPr>
        <w:t xml:space="preserve"> </w:t>
      </w:r>
      <w:r>
        <w:rPr>
          <w:color w:val="00B050"/>
          <w:w w:val="90"/>
        </w:rPr>
        <w:t>can</w:t>
      </w:r>
      <w:r>
        <w:rPr>
          <w:color w:val="00B050"/>
          <w:spacing w:val="17"/>
        </w:rPr>
        <w:t xml:space="preserve"> </w:t>
      </w:r>
      <w:r>
        <w:rPr>
          <w:color w:val="00B050"/>
          <w:w w:val="90"/>
        </w:rPr>
        <w:t>effectively</w:t>
      </w:r>
      <w:r>
        <w:rPr>
          <w:color w:val="00B050"/>
          <w:spacing w:val="14"/>
        </w:rPr>
        <w:t xml:space="preserve"> </w:t>
      </w:r>
      <w:r>
        <w:rPr>
          <w:color w:val="00B050"/>
          <w:w w:val="90"/>
        </w:rPr>
        <w:t>translate</w:t>
      </w:r>
      <w:r>
        <w:rPr>
          <w:color w:val="00B050"/>
          <w:spacing w:val="15"/>
        </w:rPr>
        <w:t xml:space="preserve"> </w:t>
      </w:r>
      <w:r>
        <w:rPr>
          <w:color w:val="00B050"/>
          <w:spacing w:val="-2"/>
          <w:w w:val="90"/>
        </w:rPr>
        <w:t>concepts</w:t>
      </w:r>
    </w:p>
    <w:p w14:paraId="4E4AAD89" w14:textId="77777777" w:rsidR="00295E59" w:rsidRDefault="00295E59" w:rsidP="00295E59">
      <w:pPr>
        <w:pStyle w:val="BodyText"/>
        <w:spacing w:before="7"/>
        <w:ind w:left="120"/>
      </w:pPr>
      <w:r>
        <w:rPr>
          <w:color w:val="00B0F0"/>
        </w:rPr>
        <w:t>What</w:t>
      </w:r>
      <w:r>
        <w:rPr>
          <w:color w:val="00B0F0"/>
          <w:spacing w:val="-3"/>
        </w:rPr>
        <w:t xml:space="preserve"> </w:t>
      </w:r>
      <w:r>
        <w:rPr>
          <w:color w:val="00B0F0"/>
        </w:rPr>
        <w:t>is</w:t>
      </w:r>
      <w:r>
        <w:rPr>
          <w:color w:val="00B0F0"/>
          <w:spacing w:val="-3"/>
        </w:rPr>
        <w:t xml:space="preserve"> </w:t>
      </w:r>
      <w:r>
        <w:rPr>
          <w:color w:val="00B0F0"/>
        </w:rPr>
        <w:t>the</w:t>
      </w:r>
      <w:r>
        <w:rPr>
          <w:color w:val="00B0F0"/>
          <w:spacing w:val="-3"/>
        </w:rPr>
        <w:t xml:space="preserve"> </w:t>
      </w:r>
      <w:r>
        <w:rPr>
          <w:color w:val="00B0F0"/>
        </w:rPr>
        <w:t>gap</w:t>
      </w:r>
      <w:r>
        <w:rPr>
          <w:color w:val="00B0F0"/>
          <w:spacing w:val="-1"/>
        </w:rPr>
        <w:t xml:space="preserve"> </w:t>
      </w:r>
      <w:r>
        <w:rPr>
          <w:color w:val="00B0F0"/>
        </w:rPr>
        <w:t>that</w:t>
      </w:r>
      <w:r>
        <w:rPr>
          <w:color w:val="00B0F0"/>
          <w:spacing w:val="-1"/>
        </w:rPr>
        <w:t xml:space="preserve"> </w:t>
      </w:r>
      <w:proofErr w:type="gramStart"/>
      <w:r>
        <w:rPr>
          <w:color w:val="00B0F0"/>
        </w:rPr>
        <w:t>still</w:t>
      </w:r>
      <w:r>
        <w:rPr>
          <w:color w:val="00B0F0"/>
          <w:spacing w:val="-2"/>
        </w:rPr>
        <w:t xml:space="preserve"> remains</w:t>
      </w:r>
      <w:proofErr w:type="gramEnd"/>
      <w:r>
        <w:rPr>
          <w:color w:val="00B0F0"/>
          <w:spacing w:val="-2"/>
        </w:rPr>
        <w:t>?</w:t>
      </w:r>
    </w:p>
    <w:p w14:paraId="21F05117" w14:textId="77777777" w:rsidR="00295E59" w:rsidRDefault="00295E59" w:rsidP="00295E59">
      <w:pPr>
        <w:pStyle w:val="ListParagraph"/>
        <w:numPr>
          <w:ilvl w:val="0"/>
          <w:numId w:val="1"/>
        </w:numPr>
        <w:tabs>
          <w:tab w:val="left" w:pos="840"/>
          <w:tab w:val="left" w:pos="841"/>
        </w:tabs>
      </w:pPr>
      <w:r>
        <w:rPr>
          <w:color w:val="0070C0"/>
          <w:w w:val="90"/>
        </w:rPr>
        <w:t>despite</w:t>
      </w:r>
      <w:r>
        <w:rPr>
          <w:color w:val="0070C0"/>
          <w:spacing w:val="7"/>
        </w:rPr>
        <w:t xml:space="preserve"> </w:t>
      </w:r>
      <w:r>
        <w:rPr>
          <w:color w:val="0070C0"/>
          <w:w w:val="90"/>
        </w:rPr>
        <w:t>strong</w:t>
      </w:r>
      <w:r>
        <w:rPr>
          <w:color w:val="0070C0"/>
          <w:spacing w:val="6"/>
        </w:rPr>
        <w:t xml:space="preserve"> </w:t>
      </w:r>
      <w:r>
        <w:rPr>
          <w:color w:val="0070C0"/>
          <w:w w:val="90"/>
        </w:rPr>
        <w:t>local/regional</w:t>
      </w:r>
      <w:r>
        <w:rPr>
          <w:color w:val="0070C0"/>
          <w:spacing w:val="7"/>
        </w:rPr>
        <w:t xml:space="preserve"> </w:t>
      </w:r>
      <w:r>
        <w:rPr>
          <w:color w:val="0070C0"/>
          <w:w w:val="90"/>
        </w:rPr>
        <w:t>impact,</w:t>
      </w:r>
      <w:r>
        <w:rPr>
          <w:color w:val="0070C0"/>
          <w:spacing w:val="7"/>
        </w:rPr>
        <w:t xml:space="preserve"> </w:t>
      </w:r>
      <w:r>
        <w:rPr>
          <w:color w:val="0070C0"/>
          <w:w w:val="90"/>
        </w:rPr>
        <w:t>not</w:t>
      </w:r>
      <w:r>
        <w:rPr>
          <w:color w:val="0070C0"/>
          <w:spacing w:val="7"/>
        </w:rPr>
        <w:t xml:space="preserve"> </w:t>
      </w:r>
      <w:r>
        <w:rPr>
          <w:color w:val="0070C0"/>
          <w:w w:val="90"/>
        </w:rPr>
        <w:t>scalable</w:t>
      </w:r>
      <w:r>
        <w:rPr>
          <w:color w:val="0070C0"/>
          <w:spacing w:val="5"/>
        </w:rPr>
        <w:t xml:space="preserve"> </w:t>
      </w:r>
      <w:r>
        <w:rPr>
          <w:color w:val="0070C0"/>
          <w:w w:val="90"/>
        </w:rPr>
        <w:t>or</w:t>
      </w:r>
      <w:r>
        <w:rPr>
          <w:color w:val="0070C0"/>
          <w:spacing w:val="7"/>
        </w:rPr>
        <w:t xml:space="preserve"> </w:t>
      </w:r>
      <w:r>
        <w:rPr>
          <w:color w:val="0070C0"/>
          <w:spacing w:val="-2"/>
          <w:w w:val="90"/>
        </w:rPr>
        <w:t>sustainable</w:t>
      </w:r>
    </w:p>
    <w:p w14:paraId="1B639D8C" w14:textId="77777777" w:rsidR="00295E59" w:rsidRDefault="00295E59" w:rsidP="00295E59">
      <w:pPr>
        <w:pStyle w:val="ListParagraph"/>
        <w:numPr>
          <w:ilvl w:val="0"/>
          <w:numId w:val="1"/>
        </w:numPr>
        <w:tabs>
          <w:tab w:val="left" w:pos="840"/>
          <w:tab w:val="left" w:pos="841"/>
        </w:tabs>
        <w:spacing w:before="16" w:line="252" w:lineRule="auto"/>
        <w:ind w:right="749"/>
      </w:pPr>
      <w:r>
        <w:rPr>
          <w:color w:val="0070C0"/>
          <w:spacing w:val="-6"/>
        </w:rPr>
        <w:t>requires</w:t>
      </w:r>
      <w:r>
        <w:rPr>
          <w:color w:val="0070C0"/>
          <w:spacing w:val="-13"/>
        </w:rPr>
        <w:t xml:space="preserve"> </w:t>
      </w:r>
      <w:r>
        <w:rPr>
          <w:color w:val="0070C0"/>
          <w:spacing w:val="-6"/>
        </w:rPr>
        <w:t>continual</w:t>
      </w:r>
      <w:r>
        <w:rPr>
          <w:color w:val="0070C0"/>
          <w:spacing w:val="-11"/>
        </w:rPr>
        <w:t xml:space="preserve"> </w:t>
      </w:r>
      <w:r>
        <w:rPr>
          <w:color w:val="0070C0"/>
          <w:spacing w:val="-6"/>
        </w:rPr>
        <w:t>district</w:t>
      </w:r>
      <w:r>
        <w:rPr>
          <w:color w:val="0070C0"/>
          <w:spacing w:val="-11"/>
        </w:rPr>
        <w:t xml:space="preserve"> </w:t>
      </w:r>
      <w:r>
        <w:rPr>
          <w:color w:val="0070C0"/>
          <w:spacing w:val="-6"/>
        </w:rPr>
        <w:t>resourcing</w:t>
      </w:r>
      <w:r>
        <w:rPr>
          <w:color w:val="0070C0"/>
          <w:spacing w:val="-12"/>
        </w:rPr>
        <w:t xml:space="preserve"> </w:t>
      </w:r>
      <w:r>
        <w:rPr>
          <w:color w:val="0070C0"/>
          <w:spacing w:val="-6"/>
        </w:rPr>
        <w:t>and</w:t>
      </w:r>
      <w:r>
        <w:rPr>
          <w:color w:val="0070C0"/>
          <w:spacing w:val="-12"/>
        </w:rPr>
        <w:t xml:space="preserve"> </w:t>
      </w:r>
      <w:r>
        <w:rPr>
          <w:color w:val="0070C0"/>
          <w:spacing w:val="-6"/>
        </w:rPr>
        <w:t>limited</w:t>
      </w:r>
      <w:r>
        <w:rPr>
          <w:color w:val="0070C0"/>
          <w:spacing w:val="-12"/>
        </w:rPr>
        <w:t xml:space="preserve"> </w:t>
      </w:r>
      <w:r>
        <w:rPr>
          <w:color w:val="0070C0"/>
          <w:spacing w:val="-6"/>
        </w:rPr>
        <w:t>capacity</w:t>
      </w:r>
      <w:r>
        <w:rPr>
          <w:color w:val="0070C0"/>
          <w:spacing w:val="-13"/>
        </w:rPr>
        <w:t xml:space="preserve"> </w:t>
      </w:r>
      <w:r>
        <w:rPr>
          <w:color w:val="0070C0"/>
          <w:spacing w:val="-6"/>
        </w:rPr>
        <w:t>to</w:t>
      </w:r>
      <w:r>
        <w:rPr>
          <w:color w:val="0070C0"/>
          <w:spacing w:val="-12"/>
        </w:rPr>
        <w:t xml:space="preserve"> </w:t>
      </w:r>
      <w:r>
        <w:rPr>
          <w:color w:val="0070C0"/>
          <w:spacing w:val="-6"/>
        </w:rPr>
        <w:t>reach</w:t>
      </w:r>
      <w:r>
        <w:rPr>
          <w:color w:val="0070C0"/>
          <w:spacing w:val="-14"/>
        </w:rPr>
        <w:t xml:space="preserve"> </w:t>
      </w:r>
      <w:r>
        <w:rPr>
          <w:color w:val="0070C0"/>
          <w:spacing w:val="-6"/>
        </w:rPr>
        <w:t>1.6</w:t>
      </w:r>
      <w:r>
        <w:rPr>
          <w:color w:val="0070C0"/>
          <w:spacing w:val="-13"/>
        </w:rPr>
        <w:t xml:space="preserve"> </w:t>
      </w:r>
      <w:r>
        <w:rPr>
          <w:color w:val="0070C0"/>
          <w:spacing w:val="-6"/>
        </w:rPr>
        <w:t>million</w:t>
      </w:r>
      <w:r>
        <w:rPr>
          <w:color w:val="0070C0"/>
          <w:spacing w:val="-12"/>
        </w:rPr>
        <w:t xml:space="preserve"> </w:t>
      </w:r>
      <w:r>
        <w:rPr>
          <w:color w:val="0070C0"/>
          <w:spacing w:val="-6"/>
        </w:rPr>
        <w:t xml:space="preserve">elementary </w:t>
      </w:r>
      <w:r>
        <w:rPr>
          <w:color w:val="0070C0"/>
        </w:rPr>
        <w:t>science</w:t>
      </w:r>
      <w:r>
        <w:rPr>
          <w:color w:val="0070C0"/>
          <w:spacing w:val="-16"/>
        </w:rPr>
        <w:t xml:space="preserve"> </w:t>
      </w:r>
      <w:r>
        <w:rPr>
          <w:color w:val="0070C0"/>
        </w:rPr>
        <w:t>teachers</w:t>
      </w:r>
    </w:p>
    <w:p w14:paraId="579FD48E" w14:textId="77777777" w:rsidR="00295E59" w:rsidRDefault="00295E59" w:rsidP="00295E59">
      <w:pPr>
        <w:pStyle w:val="BodyText"/>
        <w:spacing w:line="248" w:lineRule="exact"/>
        <w:ind w:left="120"/>
      </w:pPr>
      <w:r>
        <w:rPr>
          <w:color w:val="E36C0A"/>
        </w:rPr>
        <w:t>How</w:t>
      </w:r>
      <w:r>
        <w:rPr>
          <w:color w:val="E36C0A"/>
          <w:spacing w:val="-3"/>
        </w:rPr>
        <w:t xml:space="preserve"> </w:t>
      </w:r>
      <w:r>
        <w:rPr>
          <w:color w:val="E36C0A"/>
        </w:rPr>
        <w:t>do</w:t>
      </w:r>
      <w:r>
        <w:rPr>
          <w:color w:val="E36C0A"/>
          <w:spacing w:val="-1"/>
        </w:rPr>
        <w:t xml:space="preserve"> </w:t>
      </w:r>
      <w:r>
        <w:rPr>
          <w:color w:val="E36C0A"/>
        </w:rPr>
        <w:t>you</w:t>
      </w:r>
      <w:r>
        <w:rPr>
          <w:color w:val="E36C0A"/>
          <w:spacing w:val="-2"/>
        </w:rPr>
        <w:t xml:space="preserve"> </w:t>
      </w:r>
      <w:r>
        <w:rPr>
          <w:color w:val="E36C0A"/>
        </w:rPr>
        <w:t>propose</w:t>
      </w:r>
      <w:r>
        <w:rPr>
          <w:color w:val="E36C0A"/>
          <w:spacing w:val="-1"/>
        </w:rPr>
        <w:t xml:space="preserve"> </w:t>
      </w:r>
      <w:r>
        <w:rPr>
          <w:color w:val="E36C0A"/>
        </w:rPr>
        <w:t>to</w:t>
      </w:r>
      <w:r>
        <w:rPr>
          <w:color w:val="E36C0A"/>
          <w:spacing w:val="-5"/>
        </w:rPr>
        <w:t xml:space="preserve"> </w:t>
      </w:r>
      <w:r>
        <w:rPr>
          <w:color w:val="E36C0A"/>
        </w:rPr>
        <w:t>address</w:t>
      </w:r>
      <w:r>
        <w:rPr>
          <w:color w:val="E36C0A"/>
          <w:spacing w:val="-3"/>
        </w:rPr>
        <w:t xml:space="preserve"> </w:t>
      </w:r>
      <w:r>
        <w:rPr>
          <w:color w:val="E36C0A"/>
        </w:rPr>
        <w:t>this</w:t>
      </w:r>
      <w:r>
        <w:rPr>
          <w:color w:val="E36C0A"/>
          <w:spacing w:val="-1"/>
        </w:rPr>
        <w:t xml:space="preserve"> </w:t>
      </w:r>
      <w:r>
        <w:rPr>
          <w:color w:val="E36C0A"/>
          <w:spacing w:val="-4"/>
        </w:rPr>
        <w:t>gap?</w:t>
      </w:r>
    </w:p>
    <w:p w14:paraId="29AA3D7B" w14:textId="77777777" w:rsidR="00295E59" w:rsidRDefault="00295E59" w:rsidP="00295E59">
      <w:pPr>
        <w:pStyle w:val="ListParagraph"/>
        <w:numPr>
          <w:ilvl w:val="0"/>
          <w:numId w:val="1"/>
        </w:numPr>
        <w:tabs>
          <w:tab w:val="left" w:pos="840"/>
          <w:tab w:val="left" w:pos="841"/>
        </w:tabs>
      </w:pPr>
      <w:r>
        <w:rPr>
          <w:color w:val="E36C0A"/>
          <w:w w:val="90"/>
        </w:rPr>
        <w:t>Immerse</w:t>
      </w:r>
      <w:r>
        <w:rPr>
          <w:color w:val="E36C0A"/>
          <w:spacing w:val="-12"/>
          <w:w w:val="90"/>
        </w:rPr>
        <w:t xml:space="preserve"> </w:t>
      </w:r>
      <w:r>
        <w:rPr>
          <w:b/>
          <w:color w:val="E36C0A"/>
          <w:w w:val="90"/>
        </w:rPr>
        <w:t>preservice</w:t>
      </w:r>
      <w:r>
        <w:rPr>
          <w:b/>
          <w:color w:val="E36C0A"/>
          <w:spacing w:val="-9"/>
          <w:w w:val="90"/>
        </w:rPr>
        <w:t xml:space="preserve"> </w:t>
      </w:r>
      <w:r>
        <w:rPr>
          <w:color w:val="E36C0A"/>
          <w:w w:val="90"/>
        </w:rPr>
        <w:t>teachers</w:t>
      </w:r>
      <w:r>
        <w:rPr>
          <w:color w:val="E36C0A"/>
          <w:spacing w:val="-7"/>
          <w:w w:val="90"/>
        </w:rPr>
        <w:t xml:space="preserve"> </w:t>
      </w:r>
      <w:r>
        <w:rPr>
          <w:color w:val="E36C0A"/>
          <w:w w:val="90"/>
        </w:rPr>
        <w:t>in</w:t>
      </w:r>
      <w:r>
        <w:rPr>
          <w:color w:val="E36C0A"/>
          <w:spacing w:val="-8"/>
          <w:w w:val="90"/>
        </w:rPr>
        <w:t xml:space="preserve"> </w:t>
      </w:r>
      <w:r>
        <w:rPr>
          <w:color w:val="E36C0A"/>
          <w:w w:val="90"/>
        </w:rPr>
        <w:t>authentic</w:t>
      </w:r>
      <w:r>
        <w:rPr>
          <w:color w:val="E36C0A"/>
          <w:spacing w:val="-9"/>
          <w:w w:val="90"/>
        </w:rPr>
        <w:t xml:space="preserve"> </w:t>
      </w:r>
      <w:r>
        <w:rPr>
          <w:color w:val="E36C0A"/>
          <w:w w:val="90"/>
        </w:rPr>
        <w:t>engineering</w:t>
      </w:r>
      <w:r>
        <w:rPr>
          <w:color w:val="E36C0A"/>
          <w:spacing w:val="-9"/>
          <w:w w:val="90"/>
        </w:rPr>
        <w:t xml:space="preserve"> </w:t>
      </w:r>
      <w:r>
        <w:rPr>
          <w:color w:val="E36C0A"/>
          <w:w w:val="90"/>
        </w:rPr>
        <w:t>design-based</w:t>
      </w:r>
      <w:r>
        <w:rPr>
          <w:color w:val="E36C0A"/>
          <w:spacing w:val="-8"/>
          <w:w w:val="90"/>
        </w:rPr>
        <w:t xml:space="preserve"> </w:t>
      </w:r>
      <w:r>
        <w:rPr>
          <w:color w:val="E36C0A"/>
          <w:w w:val="90"/>
        </w:rPr>
        <w:t>science</w:t>
      </w:r>
      <w:r>
        <w:rPr>
          <w:color w:val="E36C0A"/>
          <w:spacing w:val="-6"/>
          <w:w w:val="90"/>
        </w:rPr>
        <w:t xml:space="preserve"> </w:t>
      </w:r>
      <w:r>
        <w:rPr>
          <w:color w:val="E36C0A"/>
          <w:spacing w:val="-2"/>
          <w:w w:val="90"/>
        </w:rPr>
        <w:t>learning</w:t>
      </w:r>
    </w:p>
    <w:p w14:paraId="03054EC3" w14:textId="77777777" w:rsidR="00295E59" w:rsidRDefault="00295E59" w:rsidP="00295E59">
      <w:pPr>
        <w:pStyle w:val="BodyText"/>
        <w:ind w:left="0"/>
        <w:rPr>
          <w:rFonts w:ascii="Arial"/>
          <w:sz w:val="26"/>
        </w:rPr>
      </w:pPr>
    </w:p>
    <w:p w14:paraId="7DAB2F5B" w14:textId="77777777" w:rsidR="00295E59" w:rsidRDefault="00295E59" w:rsidP="00295E59">
      <w:pPr>
        <w:pStyle w:val="Heading1"/>
        <w:spacing w:before="218"/>
      </w:pPr>
      <w:r>
        <w:t>Step</w:t>
      </w:r>
      <w:r>
        <w:rPr>
          <w:spacing w:val="-7"/>
        </w:rPr>
        <w:t xml:space="preserve"> </w:t>
      </w:r>
      <w:r>
        <w:t>2:</w:t>
      </w:r>
      <w:r>
        <w:rPr>
          <w:spacing w:val="-5"/>
        </w:rPr>
        <w:t xml:space="preserve"> </w:t>
      </w:r>
      <w:r>
        <w:t>Write</w:t>
      </w:r>
      <w:r>
        <w:rPr>
          <w:spacing w:val="-4"/>
        </w:rPr>
        <w:t xml:space="preserve"> </w:t>
      </w:r>
      <w:r>
        <w:t>short</w:t>
      </w:r>
      <w:r>
        <w:rPr>
          <w:spacing w:val="-5"/>
        </w:rPr>
        <w:t xml:space="preserve"> </w:t>
      </w:r>
      <w:r>
        <w:t>narrative</w:t>
      </w:r>
      <w:r>
        <w:rPr>
          <w:spacing w:val="-4"/>
        </w:rPr>
        <w:t xml:space="preserve"> </w:t>
      </w:r>
      <w:r>
        <w:t>that</w:t>
      </w:r>
      <w:r>
        <w:rPr>
          <w:spacing w:val="-6"/>
        </w:rPr>
        <w:t xml:space="preserve"> </w:t>
      </w:r>
      <w:r>
        <w:t>follows</w:t>
      </w:r>
      <w:r>
        <w:rPr>
          <w:spacing w:val="-7"/>
        </w:rPr>
        <w:t xml:space="preserve"> </w:t>
      </w:r>
      <w:r>
        <w:t>phrase</w:t>
      </w:r>
      <w:r>
        <w:rPr>
          <w:spacing w:val="-4"/>
        </w:rPr>
        <w:t xml:space="preserve"> </w:t>
      </w:r>
      <w:r>
        <w:t>logic</w:t>
      </w:r>
      <w:r>
        <w:rPr>
          <w:spacing w:val="-5"/>
        </w:rPr>
        <w:t xml:space="preserve"> </w:t>
      </w:r>
      <w:r>
        <w:rPr>
          <w:spacing w:val="-4"/>
        </w:rPr>
        <w:t>flow</w:t>
      </w:r>
    </w:p>
    <w:p w14:paraId="2B44AFD2" w14:textId="77777777" w:rsidR="00295E59" w:rsidRDefault="00295E59" w:rsidP="00295E59">
      <w:pPr>
        <w:pStyle w:val="BodyText"/>
        <w:spacing w:before="247"/>
        <w:ind w:left="120" w:right="98"/>
      </w:pPr>
      <w:r>
        <w:rPr>
          <w:color w:val="FF0000"/>
        </w:rPr>
        <w:t>Continued scientific and technological innovations are critical to fostering sustained economic growth, global</w:t>
      </w:r>
      <w:r>
        <w:rPr>
          <w:color w:val="FF0000"/>
          <w:spacing w:val="-1"/>
        </w:rPr>
        <w:t xml:space="preserve"> </w:t>
      </w:r>
      <w:r>
        <w:rPr>
          <w:color w:val="FF0000"/>
        </w:rPr>
        <w:t>competitiveness,</w:t>
      </w:r>
      <w:r>
        <w:rPr>
          <w:color w:val="FF0000"/>
          <w:spacing w:val="-5"/>
        </w:rPr>
        <w:t xml:space="preserve"> </w:t>
      </w:r>
      <w:r>
        <w:rPr>
          <w:color w:val="FF0000"/>
        </w:rPr>
        <w:t>and,</w:t>
      </w:r>
      <w:r>
        <w:rPr>
          <w:color w:val="FF0000"/>
          <w:spacing w:val="-2"/>
        </w:rPr>
        <w:t xml:space="preserve"> </w:t>
      </w:r>
      <w:r>
        <w:rPr>
          <w:color w:val="FF0000"/>
        </w:rPr>
        <w:t>most</w:t>
      </w:r>
      <w:r>
        <w:rPr>
          <w:color w:val="FF0000"/>
          <w:spacing w:val="-1"/>
        </w:rPr>
        <w:t xml:space="preserve"> </w:t>
      </w:r>
      <w:r>
        <w:rPr>
          <w:color w:val="FF0000"/>
        </w:rPr>
        <w:t>importantly,</w:t>
      </w:r>
      <w:r>
        <w:rPr>
          <w:color w:val="FF0000"/>
          <w:spacing w:val="-2"/>
        </w:rPr>
        <w:t xml:space="preserve"> </w:t>
      </w:r>
      <w:r>
        <w:rPr>
          <w:color w:val="FF0000"/>
        </w:rPr>
        <w:t>meeting</w:t>
      </w:r>
      <w:r>
        <w:rPr>
          <w:color w:val="FF0000"/>
          <w:spacing w:val="-5"/>
        </w:rPr>
        <w:t xml:space="preserve"> </w:t>
      </w:r>
      <w:r>
        <w:rPr>
          <w:color w:val="FF0000"/>
        </w:rPr>
        <w:t>an</w:t>
      </w:r>
      <w:r>
        <w:rPr>
          <w:color w:val="FF0000"/>
          <w:spacing w:val="-2"/>
        </w:rPr>
        <w:t xml:space="preserve"> </w:t>
      </w:r>
      <w:r>
        <w:rPr>
          <w:color w:val="FF0000"/>
        </w:rPr>
        <w:t>increased</w:t>
      </w:r>
      <w:r>
        <w:rPr>
          <w:color w:val="FF0000"/>
          <w:spacing w:val="-2"/>
        </w:rPr>
        <w:t xml:space="preserve"> </w:t>
      </w:r>
      <w:r>
        <w:rPr>
          <w:color w:val="FF0000"/>
        </w:rPr>
        <w:t>demand</w:t>
      </w:r>
      <w:r>
        <w:rPr>
          <w:color w:val="FF0000"/>
          <w:spacing w:val="-2"/>
        </w:rPr>
        <w:t xml:space="preserve"> </w:t>
      </w:r>
      <w:r>
        <w:rPr>
          <w:color w:val="FF0000"/>
        </w:rPr>
        <w:t>for</w:t>
      </w:r>
      <w:r>
        <w:rPr>
          <w:color w:val="FF0000"/>
          <w:spacing w:val="-1"/>
        </w:rPr>
        <w:t xml:space="preserve"> </w:t>
      </w:r>
      <w:r>
        <w:rPr>
          <w:color w:val="FF0000"/>
        </w:rPr>
        <w:t>STEM</w:t>
      </w:r>
      <w:r>
        <w:rPr>
          <w:color w:val="FF0000"/>
          <w:spacing w:val="-4"/>
        </w:rPr>
        <w:t xml:space="preserve"> </w:t>
      </w:r>
      <w:r>
        <w:rPr>
          <w:color w:val="FF0000"/>
        </w:rPr>
        <w:t>talent.</w:t>
      </w:r>
      <w:r>
        <w:rPr>
          <w:color w:val="FF0000"/>
          <w:spacing w:val="-5"/>
        </w:rPr>
        <w:t xml:space="preserve"> </w:t>
      </w:r>
      <w:r>
        <w:rPr>
          <w:color w:val="FF0000"/>
        </w:rPr>
        <w:t>To</w:t>
      </w:r>
      <w:r>
        <w:rPr>
          <w:color w:val="FF0000"/>
          <w:spacing w:val="-5"/>
        </w:rPr>
        <w:t xml:space="preserve"> </w:t>
      </w:r>
      <w:r>
        <w:rPr>
          <w:color w:val="FF0000"/>
        </w:rPr>
        <w:t>harness the nation’s great scientific and technological potential, attention must be given to improving the state of STEM education and to build a robust STEM workforce (PhRMA, 2014). As noted by the President’s Council of Advisors on Science and Technology, “the most important factor in ensuring excellence in K- 12</w:t>
      </w:r>
      <w:r>
        <w:rPr>
          <w:color w:val="FF0000"/>
          <w:spacing w:val="-2"/>
        </w:rPr>
        <w:t xml:space="preserve"> </w:t>
      </w:r>
      <w:r>
        <w:rPr>
          <w:color w:val="FF0000"/>
        </w:rPr>
        <w:t>STEM</w:t>
      </w:r>
      <w:r>
        <w:rPr>
          <w:color w:val="FF0000"/>
          <w:spacing w:val="-2"/>
        </w:rPr>
        <w:t xml:space="preserve"> </w:t>
      </w:r>
      <w:r>
        <w:rPr>
          <w:color w:val="FF0000"/>
        </w:rPr>
        <w:t>education</w:t>
      </w:r>
      <w:r>
        <w:rPr>
          <w:color w:val="FF0000"/>
          <w:spacing w:val="-2"/>
        </w:rPr>
        <w:t xml:space="preserve"> </w:t>
      </w:r>
      <w:r>
        <w:rPr>
          <w:color w:val="FF0000"/>
        </w:rPr>
        <w:t>is</w:t>
      </w:r>
      <w:r>
        <w:rPr>
          <w:color w:val="FF0000"/>
          <w:spacing w:val="-2"/>
        </w:rPr>
        <w:t xml:space="preserve"> </w:t>
      </w:r>
      <w:r>
        <w:rPr>
          <w:color w:val="FF0000"/>
        </w:rPr>
        <w:t>great</w:t>
      </w:r>
      <w:r>
        <w:rPr>
          <w:color w:val="FF0000"/>
          <w:spacing w:val="-1"/>
        </w:rPr>
        <w:t xml:space="preserve"> </w:t>
      </w:r>
      <w:r>
        <w:rPr>
          <w:color w:val="FF0000"/>
        </w:rPr>
        <w:t>STEM</w:t>
      </w:r>
      <w:r>
        <w:rPr>
          <w:color w:val="FF0000"/>
          <w:spacing w:val="-4"/>
        </w:rPr>
        <w:t xml:space="preserve"> </w:t>
      </w:r>
      <w:r>
        <w:rPr>
          <w:color w:val="FF0000"/>
        </w:rPr>
        <w:t>teachers”</w:t>
      </w:r>
      <w:r>
        <w:rPr>
          <w:color w:val="FF0000"/>
          <w:spacing w:val="-4"/>
        </w:rPr>
        <w:t xml:space="preserve"> </w:t>
      </w:r>
      <w:r>
        <w:rPr>
          <w:color w:val="FF0000"/>
        </w:rPr>
        <w:t>(PCAST,</w:t>
      </w:r>
      <w:r>
        <w:rPr>
          <w:color w:val="FF0000"/>
          <w:spacing w:val="-5"/>
        </w:rPr>
        <w:t xml:space="preserve"> </w:t>
      </w:r>
      <w:r>
        <w:rPr>
          <w:color w:val="FF0000"/>
        </w:rPr>
        <w:t>2015).</w:t>
      </w:r>
      <w:r>
        <w:rPr>
          <w:color w:val="FF0000"/>
          <w:spacing w:val="-2"/>
        </w:rPr>
        <w:t xml:space="preserve"> </w:t>
      </w:r>
      <w:r>
        <w:rPr>
          <w:color w:val="FF0000"/>
        </w:rPr>
        <w:t>Compounding</w:t>
      </w:r>
      <w:r>
        <w:rPr>
          <w:color w:val="FF0000"/>
          <w:spacing w:val="-5"/>
        </w:rPr>
        <w:t xml:space="preserve"> </w:t>
      </w:r>
      <w:r>
        <w:rPr>
          <w:color w:val="FF0000"/>
        </w:rPr>
        <w:t>this</w:t>
      </w:r>
      <w:r>
        <w:rPr>
          <w:color w:val="FF0000"/>
          <w:spacing w:val="-4"/>
        </w:rPr>
        <w:t xml:space="preserve"> </w:t>
      </w:r>
      <w:r>
        <w:rPr>
          <w:color w:val="FF0000"/>
        </w:rPr>
        <w:t>demand</w:t>
      </w:r>
      <w:r>
        <w:rPr>
          <w:color w:val="FF0000"/>
          <w:spacing w:val="-2"/>
        </w:rPr>
        <w:t xml:space="preserve"> </w:t>
      </w:r>
      <w:r>
        <w:rPr>
          <w:color w:val="FF0000"/>
        </w:rPr>
        <w:t>for</w:t>
      </w:r>
      <w:r>
        <w:rPr>
          <w:color w:val="FF0000"/>
          <w:spacing w:val="-1"/>
        </w:rPr>
        <w:t xml:space="preserve"> </w:t>
      </w:r>
      <w:r>
        <w:rPr>
          <w:color w:val="FF0000"/>
        </w:rPr>
        <w:t xml:space="preserve">high-quality STEM teachers is the introduction of new academic standards (NGSS Lead States, 2013). Reform documents such as </w:t>
      </w:r>
      <w:r>
        <w:rPr>
          <w:i/>
          <w:color w:val="FF0000"/>
        </w:rPr>
        <w:t xml:space="preserve">A Framework for K-12 Science Education </w:t>
      </w:r>
      <w:r>
        <w:rPr>
          <w:color w:val="FF0000"/>
        </w:rPr>
        <w:t xml:space="preserve">(NRC, 2012) and the </w:t>
      </w:r>
      <w:r>
        <w:rPr>
          <w:i/>
          <w:color w:val="FF0000"/>
        </w:rPr>
        <w:t xml:space="preserve">Next Generation of Science Standards </w:t>
      </w:r>
      <w:r>
        <w:rPr>
          <w:color w:val="FF0000"/>
        </w:rPr>
        <w:t xml:space="preserve">(NGSS Lead States, 2013) highlight the significant role science and engineering practices play in building students’ early understanding of the world around them. The </w:t>
      </w:r>
      <w:r>
        <w:rPr>
          <w:i/>
          <w:color w:val="FF0000"/>
        </w:rPr>
        <w:t xml:space="preserve">Framework </w:t>
      </w:r>
      <w:r>
        <w:rPr>
          <w:color w:val="FF0000"/>
        </w:rPr>
        <w:t xml:space="preserve">indicates that all children should develop competencies in engineering design, and the </w:t>
      </w:r>
      <w:r>
        <w:rPr>
          <w:i/>
          <w:color w:val="FF0000"/>
        </w:rPr>
        <w:t xml:space="preserve">NGSS </w:t>
      </w:r>
      <w:r>
        <w:rPr>
          <w:color w:val="FF0000"/>
        </w:rPr>
        <w:t xml:space="preserve">explicitly includes a “conceptual shift” toward “the integration of engineering and technology into the structure of science education.” However, such an imminent curriculum and pedagogy shift cannot be realized with the existing lack of a national </w:t>
      </w:r>
      <w:r>
        <w:rPr>
          <w:rFonts w:ascii="TimesNewRomanPS-BoldItalicMT" w:hAnsi="TimesNewRomanPS-BoldItalicMT"/>
          <w:b/>
          <w:i/>
          <w:color w:val="FF0000"/>
        </w:rPr>
        <w:t xml:space="preserve">transformation in the preparation of K-12 teachers </w:t>
      </w:r>
      <w:r>
        <w:rPr>
          <w:color w:val="FF0000"/>
        </w:rPr>
        <w:t>whereby teachers will possess the knowledge and skills necessary to include the discipline of engineering in their classrooms.</w:t>
      </w:r>
    </w:p>
    <w:p w14:paraId="0519DC24" w14:textId="77777777" w:rsidR="00295E59" w:rsidRDefault="00295E59" w:rsidP="00295E59">
      <w:pPr>
        <w:pStyle w:val="BodyText"/>
        <w:spacing w:before="1"/>
        <w:ind w:left="120" w:right="172"/>
      </w:pPr>
      <w:r>
        <w:rPr>
          <w:color w:val="FF0000"/>
        </w:rPr>
        <w:t xml:space="preserve">This is especially important at the elementary school level where teachers tend to have the most limited academic preparation in science (Abell, 2007; Appleton, 2007; </w:t>
      </w:r>
      <w:proofErr w:type="spellStart"/>
      <w:r>
        <w:rPr>
          <w:color w:val="FF0000"/>
        </w:rPr>
        <w:t>Mellado</w:t>
      </w:r>
      <w:proofErr w:type="spellEnd"/>
      <w:r>
        <w:rPr>
          <w:color w:val="FF0000"/>
        </w:rPr>
        <w:t>, Blanco, &amp; Ruiz, 1998) and essentially</w:t>
      </w:r>
      <w:r>
        <w:rPr>
          <w:color w:val="FF0000"/>
          <w:spacing w:val="-5"/>
        </w:rPr>
        <w:t xml:space="preserve"> </w:t>
      </w:r>
      <w:r>
        <w:rPr>
          <w:color w:val="FF0000"/>
        </w:rPr>
        <w:t>non-existent</w:t>
      </w:r>
      <w:r>
        <w:rPr>
          <w:color w:val="FF0000"/>
          <w:spacing w:val="-1"/>
        </w:rPr>
        <w:t xml:space="preserve"> </w:t>
      </w:r>
      <w:r>
        <w:rPr>
          <w:color w:val="FF0000"/>
        </w:rPr>
        <w:t>formal</w:t>
      </w:r>
      <w:r>
        <w:rPr>
          <w:color w:val="FF0000"/>
          <w:spacing w:val="-1"/>
        </w:rPr>
        <w:t xml:space="preserve"> </w:t>
      </w:r>
      <w:r>
        <w:rPr>
          <w:color w:val="FF0000"/>
        </w:rPr>
        <w:t>exposure</w:t>
      </w:r>
      <w:r>
        <w:rPr>
          <w:color w:val="FF0000"/>
          <w:spacing w:val="-2"/>
        </w:rPr>
        <w:t xml:space="preserve"> </w:t>
      </w:r>
      <w:r>
        <w:rPr>
          <w:color w:val="FF0000"/>
        </w:rPr>
        <w:t>to</w:t>
      </w:r>
      <w:r>
        <w:rPr>
          <w:color w:val="FF0000"/>
          <w:spacing w:val="-5"/>
        </w:rPr>
        <w:t xml:space="preserve"> </w:t>
      </w:r>
      <w:r>
        <w:rPr>
          <w:color w:val="FF0000"/>
        </w:rPr>
        <w:t>engineering</w:t>
      </w:r>
      <w:r>
        <w:rPr>
          <w:color w:val="FF0000"/>
          <w:spacing w:val="-5"/>
        </w:rPr>
        <w:t xml:space="preserve"> </w:t>
      </w:r>
      <w:r>
        <w:rPr>
          <w:color w:val="FF0000"/>
        </w:rPr>
        <w:t>(Cunningham</w:t>
      </w:r>
      <w:r>
        <w:rPr>
          <w:color w:val="FF0000"/>
          <w:spacing w:val="-6"/>
        </w:rPr>
        <w:t xml:space="preserve"> </w:t>
      </w:r>
      <w:r>
        <w:rPr>
          <w:color w:val="FF0000"/>
        </w:rPr>
        <w:t>&amp;</w:t>
      </w:r>
      <w:r>
        <w:rPr>
          <w:color w:val="FF0000"/>
          <w:spacing w:val="-4"/>
        </w:rPr>
        <w:t xml:space="preserve"> </w:t>
      </w:r>
      <w:r>
        <w:rPr>
          <w:color w:val="FF0000"/>
        </w:rPr>
        <w:t>Carlsen,</w:t>
      </w:r>
      <w:r>
        <w:rPr>
          <w:color w:val="FF0000"/>
          <w:spacing w:val="-5"/>
        </w:rPr>
        <w:t xml:space="preserve"> </w:t>
      </w:r>
      <w:r>
        <w:rPr>
          <w:color w:val="FF0000"/>
        </w:rPr>
        <w:t>2014;</w:t>
      </w:r>
      <w:r>
        <w:rPr>
          <w:color w:val="FF0000"/>
          <w:spacing w:val="-4"/>
        </w:rPr>
        <w:t xml:space="preserve"> </w:t>
      </w:r>
      <w:r>
        <w:rPr>
          <w:color w:val="FF0000"/>
        </w:rPr>
        <w:t>Wendell,</w:t>
      </w:r>
      <w:r>
        <w:rPr>
          <w:color w:val="FF0000"/>
          <w:spacing w:val="-2"/>
        </w:rPr>
        <w:t xml:space="preserve"> </w:t>
      </w:r>
      <w:r>
        <w:rPr>
          <w:color w:val="FF0000"/>
        </w:rPr>
        <w:t>2014).</w:t>
      </w:r>
    </w:p>
    <w:p w14:paraId="4C1F042E" w14:textId="77777777" w:rsidR="00295E59" w:rsidRDefault="00295E59" w:rsidP="00295E59">
      <w:pPr>
        <w:pStyle w:val="BodyText"/>
        <w:ind w:left="120" w:right="172" w:firstLine="720"/>
      </w:pPr>
      <w:r>
        <w:rPr>
          <w:color w:val="00B050"/>
        </w:rPr>
        <w:t>To</w:t>
      </w:r>
      <w:r>
        <w:rPr>
          <w:color w:val="00B050"/>
          <w:spacing w:val="-5"/>
        </w:rPr>
        <w:t xml:space="preserve"> </w:t>
      </w:r>
      <w:r>
        <w:rPr>
          <w:color w:val="00B050"/>
        </w:rPr>
        <w:t>fill</w:t>
      </w:r>
      <w:r>
        <w:rPr>
          <w:color w:val="00B050"/>
          <w:spacing w:val="-4"/>
        </w:rPr>
        <w:t xml:space="preserve"> </w:t>
      </w:r>
      <w:r>
        <w:rPr>
          <w:color w:val="00B050"/>
        </w:rPr>
        <w:t>this</w:t>
      </w:r>
      <w:r>
        <w:rPr>
          <w:color w:val="00B050"/>
          <w:spacing w:val="-2"/>
        </w:rPr>
        <w:t xml:space="preserve"> </w:t>
      </w:r>
      <w:r>
        <w:rPr>
          <w:color w:val="00B050"/>
        </w:rPr>
        <w:t>void</w:t>
      </w:r>
      <w:r>
        <w:rPr>
          <w:color w:val="00B050"/>
          <w:spacing w:val="-5"/>
        </w:rPr>
        <w:t xml:space="preserve"> </w:t>
      </w:r>
      <w:r>
        <w:rPr>
          <w:color w:val="00B050"/>
        </w:rPr>
        <w:t>in</w:t>
      </w:r>
      <w:r>
        <w:rPr>
          <w:color w:val="00B050"/>
          <w:spacing w:val="-2"/>
        </w:rPr>
        <w:t xml:space="preserve"> </w:t>
      </w:r>
      <w:r>
        <w:rPr>
          <w:color w:val="00B050"/>
        </w:rPr>
        <w:t>professional</w:t>
      </w:r>
      <w:r>
        <w:rPr>
          <w:color w:val="00B050"/>
          <w:spacing w:val="-4"/>
        </w:rPr>
        <w:t xml:space="preserve"> </w:t>
      </w:r>
      <w:r>
        <w:rPr>
          <w:color w:val="00B050"/>
        </w:rPr>
        <w:t>training</w:t>
      </w:r>
      <w:r>
        <w:rPr>
          <w:color w:val="00B050"/>
          <w:spacing w:val="-5"/>
        </w:rPr>
        <w:t xml:space="preserve"> </w:t>
      </w:r>
      <w:r>
        <w:rPr>
          <w:color w:val="00B050"/>
        </w:rPr>
        <w:t>of</w:t>
      </w:r>
      <w:r>
        <w:rPr>
          <w:color w:val="00B050"/>
          <w:spacing w:val="-1"/>
        </w:rPr>
        <w:t xml:space="preserve"> </w:t>
      </w:r>
      <w:r>
        <w:rPr>
          <w:color w:val="00B050"/>
        </w:rPr>
        <w:t>elementary</w:t>
      </w:r>
      <w:r>
        <w:rPr>
          <w:color w:val="00B050"/>
          <w:spacing w:val="-5"/>
        </w:rPr>
        <w:t xml:space="preserve"> </w:t>
      </w:r>
      <w:r>
        <w:rPr>
          <w:color w:val="00B050"/>
        </w:rPr>
        <w:t>science</w:t>
      </w:r>
      <w:r>
        <w:rPr>
          <w:color w:val="00B050"/>
          <w:spacing w:val="-4"/>
        </w:rPr>
        <w:t xml:space="preserve"> </w:t>
      </w:r>
      <w:r>
        <w:rPr>
          <w:color w:val="00B050"/>
        </w:rPr>
        <w:t>teachers,</w:t>
      </w:r>
      <w:r>
        <w:rPr>
          <w:color w:val="00B050"/>
          <w:spacing w:val="-5"/>
        </w:rPr>
        <w:t xml:space="preserve"> </w:t>
      </w:r>
      <w:r>
        <w:rPr>
          <w:color w:val="00B050"/>
        </w:rPr>
        <w:t>considerable</w:t>
      </w:r>
      <w:r>
        <w:rPr>
          <w:color w:val="00B050"/>
          <w:spacing w:val="-2"/>
        </w:rPr>
        <w:t xml:space="preserve"> </w:t>
      </w:r>
      <w:r>
        <w:rPr>
          <w:color w:val="00B050"/>
        </w:rPr>
        <w:t xml:space="preserve">national strides have been made to integrate engineering design for </w:t>
      </w:r>
      <w:proofErr w:type="spellStart"/>
      <w:r>
        <w:rPr>
          <w:i/>
          <w:color w:val="00B050"/>
        </w:rPr>
        <w:t>inservice</w:t>
      </w:r>
      <w:proofErr w:type="spellEnd"/>
      <w:r>
        <w:rPr>
          <w:i/>
          <w:color w:val="00B050"/>
        </w:rPr>
        <w:t xml:space="preserve"> </w:t>
      </w:r>
      <w:r>
        <w:rPr>
          <w:color w:val="00B050"/>
        </w:rPr>
        <w:t xml:space="preserve">elementary science teachers (Capobianco &amp; Lehman, 2015; Capobianco &amp; Rupp, 2014; </w:t>
      </w:r>
      <w:proofErr w:type="spellStart"/>
      <w:r>
        <w:rPr>
          <w:color w:val="00B050"/>
        </w:rPr>
        <w:t>Sargianis</w:t>
      </w:r>
      <w:proofErr w:type="spellEnd"/>
      <w:r>
        <w:rPr>
          <w:color w:val="00B050"/>
        </w:rPr>
        <w:t xml:space="preserve">, Yang, &amp; Cunningham, </w:t>
      </w:r>
      <w:proofErr w:type="gramStart"/>
      <w:r>
        <w:rPr>
          <w:color w:val="00B050"/>
        </w:rPr>
        <w:t>2012;</w:t>
      </w:r>
      <w:proofErr w:type="gramEnd"/>
    </w:p>
    <w:p w14:paraId="5CF02DE7" w14:textId="77777777" w:rsidR="00295E59" w:rsidRDefault="00295E59" w:rsidP="00295E59">
      <w:pPr>
        <w:sectPr w:rsidR="00295E59" w:rsidSect="00295E59">
          <w:footerReference w:type="default" r:id="rId6"/>
          <w:pgSz w:w="12240" w:h="15840"/>
          <w:pgMar w:top="1360" w:right="1340" w:bottom="1220" w:left="1320" w:header="0" w:footer="1038" w:gutter="0"/>
          <w:pgNumType w:start="1"/>
          <w:cols w:space="720"/>
        </w:sectPr>
      </w:pPr>
    </w:p>
    <w:p w14:paraId="051DE4EB" w14:textId="77777777" w:rsidR="00295E59" w:rsidRDefault="00295E59" w:rsidP="00295E59">
      <w:pPr>
        <w:pStyle w:val="BodyText"/>
        <w:spacing w:before="73"/>
        <w:ind w:left="119" w:right="172"/>
      </w:pPr>
      <w:r w:rsidRPr="00FA49C6">
        <w:rPr>
          <w:color w:val="00B050"/>
          <w:lang w:val="da-DK"/>
        </w:rPr>
        <w:lastRenderedPageBreak/>
        <w:t>Yasar,</w:t>
      </w:r>
      <w:r w:rsidRPr="00FA49C6">
        <w:rPr>
          <w:color w:val="00B050"/>
          <w:spacing w:val="-3"/>
          <w:lang w:val="da-DK"/>
        </w:rPr>
        <w:t xml:space="preserve"> </w:t>
      </w:r>
      <w:r w:rsidRPr="00FA49C6">
        <w:rPr>
          <w:color w:val="00B050"/>
          <w:lang w:val="da-DK"/>
        </w:rPr>
        <w:t>et</w:t>
      </w:r>
      <w:r w:rsidRPr="00FA49C6">
        <w:rPr>
          <w:color w:val="00B050"/>
          <w:spacing w:val="-2"/>
          <w:lang w:val="da-DK"/>
        </w:rPr>
        <w:t xml:space="preserve"> </w:t>
      </w:r>
      <w:r w:rsidRPr="00FA49C6">
        <w:rPr>
          <w:color w:val="00B050"/>
          <w:lang w:val="da-DK"/>
        </w:rPr>
        <w:t>al.,</w:t>
      </w:r>
      <w:r w:rsidRPr="00FA49C6">
        <w:rPr>
          <w:color w:val="00B050"/>
          <w:spacing w:val="-3"/>
          <w:lang w:val="da-DK"/>
        </w:rPr>
        <w:t xml:space="preserve"> </w:t>
      </w:r>
      <w:r w:rsidRPr="00FA49C6">
        <w:rPr>
          <w:color w:val="00B050"/>
          <w:lang w:val="da-DK"/>
        </w:rPr>
        <w:t xml:space="preserve">2013; Yoon, at al., 2014). </w:t>
      </w:r>
      <w:r>
        <w:rPr>
          <w:color w:val="00B050"/>
        </w:rPr>
        <w:t>Programs such</w:t>
      </w:r>
      <w:r>
        <w:rPr>
          <w:color w:val="00B050"/>
          <w:spacing w:val="-3"/>
        </w:rPr>
        <w:t xml:space="preserve"> </w:t>
      </w:r>
      <w:r>
        <w:rPr>
          <w:color w:val="00B050"/>
        </w:rPr>
        <w:t>as the University</w:t>
      </w:r>
      <w:r>
        <w:rPr>
          <w:color w:val="00B050"/>
          <w:spacing w:val="-3"/>
        </w:rPr>
        <w:t xml:space="preserve"> </w:t>
      </w:r>
      <w:r>
        <w:rPr>
          <w:color w:val="00B050"/>
        </w:rPr>
        <w:t>of</w:t>
      </w:r>
      <w:r>
        <w:rPr>
          <w:color w:val="00B050"/>
          <w:spacing w:val="-2"/>
        </w:rPr>
        <w:t xml:space="preserve"> </w:t>
      </w:r>
      <w:r>
        <w:rPr>
          <w:color w:val="00B050"/>
        </w:rPr>
        <w:t xml:space="preserve">Texas’s </w:t>
      </w:r>
      <w:proofErr w:type="spellStart"/>
      <w:r>
        <w:rPr>
          <w:i/>
          <w:color w:val="00B050"/>
        </w:rPr>
        <w:t>UTeach</w:t>
      </w:r>
      <w:proofErr w:type="spellEnd"/>
      <w:r>
        <w:rPr>
          <w:i/>
          <w:color w:val="00B050"/>
        </w:rPr>
        <w:t xml:space="preserve"> Engineering</w:t>
      </w:r>
      <w:r>
        <w:rPr>
          <w:color w:val="00B050"/>
        </w:rPr>
        <w:t xml:space="preserve">, Boston’s Museum of Science’s </w:t>
      </w:r>
      <w:r>
        <w:rPr>
          <w:i/>
          <w:color w:val="00B050"/>
        </w:rPr>
        <w:t>Engineering is Elementary</w:t>
      </w:r>
      <w:r>
        <w:rPr>
          <w:color w:val="00B050"/>
        </w:rPr>
        <w:t xml:space="preserve">, Purdue University’s </w:t>
      </w:r>
      <w:r>
        <w:rPr>
          <w:i/>
          <w:color w:val="00B050"/>
        </w:rPr>
        <w:t>Science Learning through</w:t>
      </w:r>
      <w:r>
        <w:rPr>
          <w:i/>
          <w:color w:val="00B050"/>
          <w:spacing w:val="-3"/>
        </w:rPr>
        <w:t xml:space="preserve"> </w:t>
      </w:r>
      <w:r>
        <w:rPr>
          <w:i/>
          <w:color w:val="00B050"/>
        </w:rPr>
        <w:t>Engineering</w:t>
      </w:r>
      <w:r>
        <w:rPr>
          <w:i/>
          <w:color w:val="00B050"/>
          <w:spacing w:val="-3"/>
        </w:rPr>
        <w:t xml:space="preserve"> </w:t>
      </w:r>
      <w:r>
        <w:rPr>
          <w:i/>
          <w:color w:val="00B050"/>
        </w:rPr>
        <w:t>Design</w:t>
      </w:r>
      <w:r>
        <w:rPr>
          <w:i/>
          <w:color w:val="00B050"/>
          <w:spacing w:val="-3"/>
        </w:rPr>
        <w:t xml:space="preserve"> </w:t>
      </w:r>
      <w:r>
        <w:rPr>
          <w:i/>
          <w:color w:val="00B050"/>
        </w:rPr>
        <w:t>(SLED)</w:t>
      </w:r>
      <w:r>
        <w:rPr>
          <w:i/>
          <w:color w:val="00B050"/>
          <w:spacing w:val="-5"/>
        </w:rPr>
        <w:t xml:space="preserve"> </w:t>
      </w:r>
      <w:r>
        <w:rPr>
          <w:i/>
          <w:color w:val="00B050"/>
        </w:rPr>
        <w:t>Partnership</w:t>
      </w:r>
      <w:r>
        <w:rPr>
          <w:color w:val="00B050"/>
        </w:rPr>
        <w:t>,</w:t>
      </w:r>
      <w:r>
        <w:rPr>
          <w:color w:val="00B050"/>
          <w:spacing w:val="40"/>
        </w:rPr>
        <w:t xml:space="preserve"> </w:t>
      </w:r>
      <w:r>
        <w:rPr>
          <w:color w:val="00B050"/>
        </w:rPr>
        <w:t>The</w:t>
      </w:r>
      <w:r>
        <w:rPr>
          <w:color w:val="00B050"/>
          <w:spacing w:val="-5"/>
        </w:rPr>
        <w:t xml:space="preserve"> </w:t>
      </w:r>
      <w:r>
        <w:rPr>
          <w:color w:val="00B050"/>
        </w:rPr>
        <w:t>John</w:t>
      </w:r>
      <w:r>
        <w:rPr>
          <w:color w:val="00B050"/>
          <w:spacing w:val="-3"/>
        </w:rPr>
        <w:t xml:space="preserve"> </w:t>
      </w:r>
      <w:r>
        <w:rPr>
          <w:color w:val="00B050"/>
        </w:rPr>
        <w:t>Hopkins</w:t>
      </w:r>
      <w:r>
        <w:rPr>
          <w:color w:val="00B050"/>
          <w:spacing w:val="-3"/>
        </w:rPr>
        <w:t xml:space="preserve"> </w:t>
      </w:r>
      <w:r>
        <w:rPr>
          <w:color w:val="00B050"/>
        </w:rPr>
        <w:t>University’s</w:t>
      </w:r>
      <w:r>
        <w:rPr>
          <w:color w:val="00B050"/>
          <w:spacing w:val="-5"/>
        </w:rPr>
        <w:t xml:space="preserve"> </w:t>
      </w:r>
      <w:r>
        <w:rPr>
          <w:i/>
          <w:color w:val="00B050"/>
        </w:rPr>
        <w:t>STEM</w:t>
      </w:r>
      <w:r>
        <w:rPr>
          <w:i/>
          <w:color w:val="00B050"/>
          <w:spacing w:val="-2"/>
        </w:rPr>
        <w:t xml:space="preserve"> </w:t>
      </w:r>
      <w:r>
        <w:rPr>
          <w:i/>
          <w:color w:val="00B050"/>
        </w:rPr>
        <w:t>Achievement</w:t>
      </w:r>
      <w:r>
        <w:rPr>
          <w:i/>
          <w:color w:val="00B050"/>
          <w:spacing w:val="-2"/>
        </w:rPr>
        <w:t xml:space="preserve"> </w:t>
      </w:r>
      <w:r>
        <w:rPr>
          <w:i/>
          <w:color w:val="00B050"/>
        </w:rPr>
        <w:t>in Baltimore Elementary Schools (SABES)</w:t>
      </w:r>
      <w:r>
        <w:rPr>
          <w:color w:val="00B050"/>
        </w:rPr>
        <w:t xml:space="preserve">, and University of Minnesota’s </w:t>
      </w:r>
      <w:r>
        <w:rPr>
          <w:i/>
          <w:color w:val="00B050"/>
        </w:rPr>
        <w:t>Engr: TEAMS</w:t>
      </w:r>
      <w:r>
        <w:rPr>
          <w:i/>
          <w:color w:val="00B050"/>
          <w:spacing w:val="40"/>
        </w:rPr>
        <w:t xml:space="preserve"> </w:t>
      </w:r>
      <w:r>
        <w:rPr>
          <w:color w:val="00B050"/>
        </w:rPr>
        <w:t xml:space="preserve">are grounded in the delivery of high-quality, content-rich, engineering design-based experiences for </w:t>
      </w:r>
      <w:proofErr w:type="spellStart"/>
      <w:r>
        <w:rPr>
          <w:color w:val="00B050"/>
        </w:rPr>
        <w:t>inservice</w:t>
      </w:r>
      <w:proofErr w:type="spellEnd"/>
      <w:r>
        <w:rPr>
          <w:color w:val="00B050"/>
        </w:rPr>
        <w:t xml:space="preserve"> elementary science teachers. Results show strong proof-of-concept that elementary teachers can effectively translate engineering basics into the classroom environment.</w:t>
      </w:r>
      <w:r>
        <w:rPr>
          <w:color w:val="00B050"/>
          <w:spacing w:val="40"/>
        </w:rPr>
        <w:t xml:space="preserve"> </w:t>
      </w:r>
      <w:r>
        <w:rPr>
          <w:color w:val="00B050"/>
        </w:rPr>
        <w:t xml:space="preserve">The successful NSF-funded SLED Partnership, for example, demonstrated that elementary </w:t>
      </w:r>
      <w:proofErr w:type="spellStart"/>
      <w:r>
        <w:rPr>
          <w:color w:val="00B050"/>
        </w:rPr>
        <w:t>inservice</w:t>
      </w:r>
      <w:proofErr w:type="spellEnd"/>
      <w:r>
        <w:rPr>
          <w:color w:val="00B050"/>
        </w:rPr>
        <w:t xml:space="preserve"> science teachers can develop deep conceptual knowledge of engineering practices, translate knowledge into teaching that facilitates students’ science learning, and address both first and second-order classroom challenges with implementing engineering design-based science instruction (Capobianco &amp; DeLisi, 2015; Capobianco, Lehman, &amp; Kelley, 2015).</w:t>
      </w:r>
    </w:p>
    <w:p w14:paraId="66E3B15C" w14:textId="77777777" w:rsidR="00295E59" w:rsidRDefault="00295E59" w:rsidP="00295E59">
      <w:pPr>
        <w:pStyle w:val="BodyText"/>
        <w:ind w:left="119" w:right="172" w:firstLine="720"/>
      </w:pPr>
      <w:r>
        <w:rPr>
          <w:color w:val="548DD4"/>
        </w:rPr>
        <w:t xml:space="preserve">While such </w:t>
      </w:r>
      <w:proofErr w:type="spellStart"/>
      <w:r>
        <w:rPr>
          <w:color w:val="548DD4"/>
        </w:rPr>
        <w:t>inservice</w:t>
      </w:r>
      <w:proofErr w:type="spellEnd"/>
      <w:r>
        <w:rPr>
          <w:color w:val="548DD4"/>
        </w:rPr>
        <w:t xml:space="preserve"> training has had strong impact on students and teachers across various elementary</w:t>
      </w:r>
      <w:r>
        <w:rPr>
          <w:color w:val="548DD4"/>
          <w:spacing w:val="-2"/>
        </w:rPr>
        <w:t xml:space="preserve"> </w:t>
      </w:r>
      <w:r>
        <w:rPr>
          <w:color w:val="548DD4"/>
        </w:rPr>
        <w:t>school settings,</w:t>
      </w:r>
      <w:r>
        <w:rPr>
          <w:color w:val="548DD4"/>
          <w:spacing w:val="-2"/>
        </w:rPr>
        <w:t xml:space="preserve"> </w:t>
      </w:r>
      <w:r>
        <w:rPr>
          <w:color w:val="548DD4"/>
        </w:rPr>
        <w:t>a significant</w:t>
      </w:r>
      <w:r>
        <w:rPr>
          <w:color w:val="548DD4"/>
          <w:spacing w:val="-1"/>
        </w:rPr>
        <w:t xml:space="preserve"> </w:t>
      </w:r>
      <w:r>
        <w:rPr>
          <w:color w:val="548DD4"/>
        </w:rPr>
        <w:t>gap remains</w:t>
      </w:r>
      <w:r>
        <w:rPr>
          <w:color w:val="548DD4"/>
          <w:spacing w:val="-1"/>
        </w:rPr>
        <w:t xml:space="preserve"> </w:t>
      </w:r>
      <w:r>
        <w:rPr>
          <w:color w:val="548DD4"/>
        </w:rPr>
        <w:t>in</w:t>
      </w:r>
      <w:r>
        <w:rPr>
          <w:color w:val="548DD4"/>
          <w:spacing w:val="-2"/>
        </w:rPr>
        <w:t xml:space="preserve"> </w:t>
      </w:r>
      <w:r>
        <w:rPr>
          <w:color w:val="548DD4"/>
        </w:rPr>
        <w:t>developing</w:t>
      </w:r>
      <w:r>
        <w:rPr>
          <w:color w:val="548DD4"/>
          <w:spacing w:val="-2"/>
        </w:rPr>
        <w:t xml:space="preserve"> </w:t>
      </w:r>
      <w:r>
        <w:rPr>
          <w:color w:val="548DD4"/>
        </w:rPr>
        <w:t>a nationally</w:t>
      </w:r>
      <w:r>
        <w:rPr>
          <w:color w:val="548DD4"/>
          <w:spacing w:val="-2"/>
        </w:rPr>
        <w:t xml:space="preserve"> </w:t>
      </w:r>
      <w:r>
        <w:rPr>
          <w:color w:val="548DD4"/>
        </w:rPr>
        <w:t xml:space="preserve">scalable and sustainable solution. Current </w:t>
      </w:r>
      <w:proofErr w:type="spellStart"/>
      <w:r>
        <w:rPr>
          <w:color w:val="548DD4"/>
        </w:rPr>
        <w:t>inservice</w:t>
      </w:r>
      <w:proofErr w:type="spellEnd"/>
      <w:r>
        <w:rPr>
          <w:color w:val="548DD4"/>
        </w:rPr>
        <w:t xml:space="preserve"> efforts rely on an existing base of teaching experience, require continual district</w:t>
      </w:r>
      <w:r>
        <w:rPr>
          <w:color w:val="548DD4"/>
          <w:spacing w:val="-4"/>
        </w:rPr>
        <w:t xml:space="preserve"> </w:t>
      </w:r>
      <w:r>
        <w:rPr>
          <w:color w:val="548DD4"/>
        </w:rPr>
        <w:t>resourcing</w:t>
      </w:r>
      <w:r>
        <w:rPr>
          <w:color w:val="548DD4"/>
          <w:spacing w:val="-5"/>
        </w:rPr>
        <w:t xml:space="preserve"> </w:t>
      </w:r>
      <w:r>
        <w:rPr>
          <w:color w:val="548DD4"/>
        </w:rPr>
        <w:t>for</w:t>
      </w:r>
      <w:r>
        <w:rPr>
          <w:color w:val="548DD4"/>
          <w:spacing w:val="-1"/>
        </w:rPr>
        <w:t xml:space="preserve"> </w:t>
      </w:r>
      <w:r>
        <w:rPr>
          <w:color w:val="548DD4"/>
        </w:rPr>
        <w:t>on-site</w:t>
      </w:r>
      <w:r>
        <w:rPr>
          <w:color w:val="548DD4"/>
          <w:spacing w:val="-2"/>
        </w:rPr>
        <w:t xml:space="preserve"> </w:t>
      </w:r>
      <w:r>
        <w:rPr>
          <w:color w:val="548DD4"/>
        </w:rPr>
        <w:t>or</w:t>
      </w:r>
      <w:r>
        <w:rPr>
          <w:color w:val="548DD4"/>
          <w:spacing w:val="-1"/>
        </w:rPr>
        <w:t xml:space="preserve"> </w:t>
      </w:r>
      <w:r>
        <w:rPr>
          <w:color w:val="548DD4"/>
        </w:rPr>
        <w:t>workshop-oriented</w:t>
      </w:r>
      <w:r>
        <w:rPr>
          <w:color w:val="548DD4"/>
          <w:spacing w:val="-5"/>
        </w:rPr>
        <w:t xml:space="preserve"> </w:t>
      </w:r>
      <w:r>
        <w:rPr>
          <w:color w:val="548DD4"/>
        </w:rPr>
        <w:t>training,</w:t>
      </w:r>
      <w:r>
        <w:rPr>
          <w:color w:val="548DD4"/>
          <w:spacing w:val="-2"/>
        </w:rPr>
        <w:t xml:space="preserve"> </w:t>
      </w:r>
      <w:r>
        <w:rPr>
          <w:color w:val="548DD4"/>
        </w:rPr>
        <w:t>and</w:t>
      </w:r>
      <w:r>
        <w:rPr>
          <w:color w:val="548DD4"/>
          <w:spacing w:val="-5"/>
        </w:rPr>
        <w:t xml:space="preserve"> </w:t>
      </w:r>
      <w:r>
        <w:rPr>
          <w:color w:val="548DD4"/>
        </w:rPr>
        <w:t>have</w:t>
      </w:r>
      <w:r>
        <w:rPr>
          <w:color w:val="548DD4"/>
          <w:spacing w:val="-2"/>
        </w:rPr>
        <w:t xml:space="preserve"> </w:t>
      </w:r>
      <w:r>
        <w:rPr>
          <w:color w:val="548DD4"/>
        </w:rPr>
        <w:t>limited</w:t>
      </w:r>
      <w:r>
        <w:rPr>
          <w:color w:val="548DD4"/>
          <w:spacing w:val="-2"/>
        </w:rPr>
        <w:t xml:space="preserve"> </w:t>
      </w:r>
      <w:r>
        <w:rPr>
          <w:color w:val="548DD4"/>
        </w:rPr>
        <w:t>capacity</w:t>
      </w:r>
      <w:r>
        <w:rPr>
          <w:color w:val="548DD4"/>
          <w:spacing w:val="-5"/>
        </w:rPr>
        <w:t xml:space="preserve"> </w:t>
      </w:r>
      <w:r>
        <w:rPr>
          <w:color w:val="548DD4"/>
        </w:rPr>
        <w:t>to</w:t>
      </w:r>
      <w:r>
        <w:rPr>
          <w:color w:val="548DD4"/>
          <w:spacing w:val="-2"/>
        </w:rPr>
        <w:t xml:space="preserve"> </w:t>
      </w:r>
      <w:r>
        <w:rPr>
          <w:color w:val="548DD4"/>
        </w:rPr>
        <w:t>reach</w:t>
      </w:r>
      <w:r>
        <w:rPr>
          <w:color w:val="548DD4"/>
          <w:spacing w:val="-5"/>
        </w:rPr>
        <w:t xml:space="preserve"> </w:t>
      </w:r>
      <w:r>
        <w:rPr>
          <w:color w:val="548DD4"/>
        </w:rPr>
        <w:t>the</w:t>
      </w:r>
      <w:r>
        <w:rPr>
          <w:color w:val="548DD4"/>
          <w:spacing w:val="-2"/>
        </w:rPr>
        <w:t xml:space="preserve"> </w:t>
      </w:r>
      <w:r>
        <w:rPr>
          <w:color w:val="548DD4"/>
        </w:rPr>
        <w:t>more than 1.6 million elementary science teachers nationwide (NCES, 2015). We lack a strategic, research- based nationwide process for elementary science teacher preparation programs to answer the call for implementing new engineering standards (Capobianco, 2012, 2015; Wendell, 2014).</w:t>
      </w:r>
    </w:p>
    <w:p w14:paraId="4817F3C8" w14:textId="77777777" w:rsidR="00295E59" w:rsidRDefault="00295E59" w:rsidP="00295E59">
      <w:pPr>
        <w:pStyle w:val="BodyText"/>
        <w:ind w:left="119" w:right="172" w:firstLine="720"/>
      </w:pPr>
      <w:r>
        <w:rPr>
          <w:color w:val="E36C0A"/>
        </w:rPr>
        <w:t>To address this gap in engaged student learning, we propose a research-based project that will create</w:t>
      </w:r>
      <w:r>
        <w:rPr>
          <w:color w:val="E36C0A"/>
          <w:spacing w:val="-1"/>
        </w:rPr>
        <w:t xml:space="preserve"> </w:t>
      </w:r>
      <w:r>
        <w:rPr>
          <w:color w:val="E36C0A"/>
        </w:rPr>
        <w:t>an innovative, scalable, and sustainable model for elementary</w:t>
      </w:r>
      <w:r>
        <w:rPr>
          <w:color w:val="E36C0A"/>
          <w:spacing w:val="-1"/>
        </w:rPr>
        <w:t xml:space="preserve"> </w:t>
      </w:r>
      <w:r>
        <w:rPr>
          <w:color w:val="E36C0A"/>
        </w:rPr>
        <w:t>science teacher preparation</w:t>
      </w:r>
      <w:r>
        <w:rPr>
          <w:color w:val="E36C0A"/>
          <w:spacing w:val="-1"/>
        </w:rPr>
        <w:t xml:space="preserve"> </w:t>
      </w:r>
      <w:r>
        <w:rPr>
          <w:color w:val="E36C0A"/>
        </w:rPr>
        <w:t>that can address the unprecedented need to prepare elementary science teachers to teach engineering practices nationwide.</w:t>
      </w:r>
      <w:r>
        <w:rPr>
          <w:color w:val="E36C0A"/>
          <w:spacing w:val="40"/>
        </w:rPr>
        <w:t xml:space="preserve"> </w:t>
      </w:r>
      <w:r>
        <w:rPr>
          <w:color w:val="E36C0A"/>
        </w:rPr>
        <w:t xml:space="preserve">In our </w:t>
      </w:r>
      <w:r>
        <w:rPr>
          <w:i/>
          <w:color w:val="E36C0A"/>
        </w:rPr>
        <w:t xml:space="preserve">IUSE Using Principles of Design to Advance Teacher Education (UPDATE) </w:t>
      </w:r>
      <w:r>
        <w:rPr>
          <w:color w:val="E36C0A"/>
        </w:rPr>
        <w:t>project, we will draw on STEM and education expertise to collaboratively transform elementary science teacher preparation by immersing preservice teachers in authentic engineering design-based science learning tasks</w:t>
      </w:r>
      <w:r>
        <w:rPr>
          <w:color w:val="E36C0A"/>
          <w:spacing w:val="-2"/>
        </w:rPr>
        <w:t xml:space="preserve"> </w:t>
      </w:r>
      <w:r>
        <w:rPr>
          <w:color w:val="E36C0A"/>
        </w:rPr>
        <w:t>in</w:t>
      </w:r>
      <w:r>
        <w:rPr>
          <w:color w:val="E36C0A"/>
          <w:spacing w:val="-5"/>
        </w:rPr>
        <w:t xml:space="preserve"> </w:t>
      </w:r>
      <w:r>
        <w:rPr>
          <w:color w:val="E36C0A"/>
        </w:rPr>
        <w:t>a</w:t>
      </w:r>
      <w:r>
        <w:rPr>
          <w:color w:val="E36C0A"/>
          <w:spacing w:val="-2"/>
        </w:rPr>
        <w:t xml:space="preserve"> </w:t>
      </w:r>
      <w:r>
        <w:rPr>
          <w:color w:val="E36C0A"/>
        </w:rPr>
        <w:t>sequence</w:t>
      </w:r>
      <w:r>
        <w:rPr>
          <w:color w:val="E36C0A"/>
          <w:spacing w:val="-2"/>
        </w:rPr>
        <w:t xml:space="preserve"> </w:t>
      </w:r>
      <w:r>
        <w:rPr>
          <w:color w:val="E36C0A"/>
        </w:rPr>
        <w:t>of</w:t>
      </w:r>
      <w:r>
        <w:rPr>
          <w:color w:val="E36C0A"/>
          <w:spacing w:val="-1"/>
        </w:rPr>
        <w:t xml:space="preserve"> </w:t>
      </w:r>
      <w:r>
        <w:rPr>
          <w:color w:val="E36C0A"/>
        </w:rPr>
        <w:t>core</w:t>
      </w:r>
      <w:r>
        <w:rPr>
          <w:color w:val="E36C0A"/>
          <w:spacing w:val="-5"/>
        </w:rPr>
        <w:t xml:space="preserve"> </w:t>
      </w:r>
      <w:r>
        <w:rPr>
          <w:color w:val="E36C0A"/>
        </w:rPr>
        <w:t>required</w:t>
      </w:r>
      <w:r>
        <w:rPr>
          <w:color w:val="E36C0A"/>
          <w:spacing w:val="-2"/>
        </w:rPr>
        <w:t xml:space="preserve"> </w:t>
      </w:r>
      <w:r>
        <w:rPr>
          <w:color w:val="E36C0A"/>
        </w:rPr>
        <w:t>undergraduate</w:t>
      </w:r>
      <w:r>
        <w:rPr>
          <w:color w:val="E36C0A"/>
          <w:spacing w:val="-4"/>
        </w:rPr>
        <w:t xml:space="preserve"> </w:t>
      </w:r>
      <w:r>
        <w:rPr>
          <w:color w:val="E36C0A"/>
        </w:rPr>
        <w:t>science</w:t>
      </w:r>
      <w:r>
        <w:rPr>
          <w:color w:val="E36C0A"/>
          <w:spacing w:val="-2"/>
        </w:rPr>
        <w:t xml:space="preserve"> </w:t>
      </w:r>
      <w:r>
        <w:rPr>
          <w:color w:val="E36C0A"/>
        </w:rPr>
        <w:t>content</w:t>
      </w:r>
      <w:r>
        <w:rPr>
          <w:color w:val="E36C0A"/>
          <w:spacing w:val="-1"/>
        </w:rPr>
        <w:t xml:space="preserve"> </w:t>
      </w:r>
      <w:r>
        <w:rPr>
          <w:color w:val="E36C0A"/>
        </w:rPr>
        <w:t>courses.</w:t>
      </w:r>
      <w:r>
        <w:rPr>
          <w:color w:val="E36C0A"/>
          <w:spacing w:val="-5"/>
        </w:rPr>
        <w:t xml:space="preserve"> </w:t>
      </w:r>
      <w:r>
        <w:rPr>
          <w:color w:val="E36C0A"/>
        </w:rPr>
        <w:t>We</w:t>
      </w:r>
      <w:r>
        <w:rPr>
          <w:color w:val="E36C0A"/>
          <w:spacing w:val="-2"/>
        </w:rPr>
        <w:t xml:space="preserve"> </w:t>
      </w:r>
      <w:r>
        <w:rPr>
          <w:color w:val="E36C0A"/>
        </w:rPr>
        <w:t>will</w:t>
      </w:r>
      <w:r>
        <w:rPr>
          <w:color w:val="E36C0A"/>
          <w:spacing w:val="-1"/>
        </w:rPr>
        <w:t xml:space="preserve"> </w:t>
      </w:r>
      <w:r>
        <w:rPr>
          <w:color w:val="E36C0A"/>
        </w:rPr>
        <w:t>utilize</w:t>
      </w:r>
      <w:r>
        <w:rPr>
          <w:color w:val="E36C0A"/>
          <w:spacing w:val="-5"/>
        </w:rPr>
        <w:t xml:space="preserve"> </w:t>
      </w:r>
      <w:r>
        <w:rPr>
          <w:color w:val="E36C0A"/>
        </w:rPr>
        <w:t>the</w:t>
      </w:r>
      <w:r>
        <w:rPr>
          <w:color w:val="E36C0A"/>
          <w:spacing w:val="-4"/>
        </w:rPr>
        <w:t xml:space="preserve"> </w:t>
      </w:r>
      <w:r>
        <w:rPr>
          <w:color w:val="E36C0A"/>
        </w:rPr>
        <w:t xml:space="preserve">constructs of </w:t>
      </w:r>
      <w:r>
        <w:rPr>
          <w:i/>
          <w:color w:val="E36C0A"/>
        </w:rPr>
        <w:t xml:space="preserve">situated learning </w:t>
      </w:r>
      <w:r>
        <w:rPr>
          <w:color w:val="E36C0A"/>
        </w:rPr>
        <w:t xml:space="preserve">and </w:t>
      </w:r>
      <w:r>
        <w:rPr>
          <w:i/>
          <w:color w:val="E36C0A"/>
        </w:rPr>
        <w:t xml:space="preserve">teacher as learner </w:t>
      </w:r>
      <w:r>
        <w:rPr>
          <w:color w:val="E36C0A"/>
        </w:rPr>
        <w:t xml:space="preserve">to uncover, evaluate, and explain the multiple and diverse ways preservice elementary teachers learn engineering practices, how they begin to conceptualize engineering design, and how they most effectively teach elementary school science using engineering </w:t>
      </w:r>
      <w:r>
        <w:rPr>
          <w:color w:val="E36C0A"/>
          <w:spacing w:val="-2"/>
        </w:rPr>
        <w:t>practices.</w:t>
      </w:r>
    </w:p>
    <w:p w14:paraId="6C1CB50D" w14:textId="245AA7A4" w:rsidR="00295E59" w:rsidRDefault="00295E59">
      <w:pPr>
        <w:rPr>
          <w:b/>
          <w:bCs/>
        </w:rPr>
      </w:pPr>
      <w:r>
        <w:rPr>
          <w:b/>
          <w:bCs/>
        </w:rPr>
        <w:br w:type="page"/>
      </w:r>
    </w:p>
    <w:p w14:paraId="56A41BD4" w14:textId="36BF834B" w:rsidR="004B3E09" w:rsidRPr="0055615C" w:rsidRDefault="0055615C">
      <w:pPr>
        <w:rPr>
          <w:b/>
          <w:bCs/>
        </w:rPr>
      </w:pPr>
      <w:r w:rsidRPr="0055615C">
        <w:rPr>
          <w:b/>
          <w:bCs/>
        </w:rPr>
        <w:lastRenderedPageBreak/>
        <w:t>Funded Project: Aims Example 1</w:t>
      </w:r>
    </w:p>
    <w:p w14:paraId="75168B08" w14:textId="77777777" w:rsidR="0055615C" w:rsidRDefault="0055615C" w:rsidP="0055615C">
      <w:r>
        <w:t xml:space="preserve">Example from Fang Huang, Weldon School of Biomedical Engineering </w:t>
      </w:r>
    </w:p>
    <w:p w14:paraId="7CE0970E" w14:textId="77777777" w:rsidR="0055615C" w:rsidRDefault="0055615C" w:rsidP="0055615C"/>
    <w:p w14:paraId="4F0FFCAE" w14:textId="77777777" w:rsidR="0055615C" w:rsidRDefault="0055615C" w:rsidP="0055615C">
      <w:r w:rsidRPr="0055615C">
        <w:rPr>
          <w:highlight w:val="yellow"/>
        </w:rPr>
        <w:t>What is the problem?</w:t>
      </w:r>
      <w:r>
        <w:t xml:space="preserve"> </w:t>
      </w:r>
    </w:p>
    <w:p w14:paraId="335D7E25" w14:textId="77777777" w:rsidR="0055615C" w:rsidRDefault="0055615C" w:rsidP="0055615C">
      <w:r w:rsidRPr="0055615C">
        <w:rPr>
          <w:highlight w:val="green"/>
        </w:rPr>
        <w:t>What has been done already to address this problem?</w:t>
      </w:r>
      <w:r>
        <w:t xml:space="preserve"> </w:t>
      </w:r>
    </w:p>
    <w:p w14:paraId="24BD309A" w14:textId="77777777" w:rsidR="0055615C" w:rsidRDefault="0055615C" w:rsidP="0055615C">
      <w:r w:rsidRPr="0055615C">
        <w:rPr>
          <w:highlight w:val="cyan"/>
        </w:rPr>
        <w:t xml:space="preserve">What is the gap that </w:t>
      </w:r>
      <w:proofErr w:type="gramStart"/>
      <w:r w:rsidRPr="0055615C">
        <w:rPr>
          <w:highlight w:val="cyan"/>
        </w:rPr>
        <w:t>still remains</w:t>
      </w:r>
      <w:proofErr w:type="gramEnd"/>
      <w:r w:rsidRPr="0055615C">
        <w:rPr>
          <w:highlight w:val="cyan"/>
        </w:rPr>
        <w:t>?</w:t>
      </w:r>
      <w:r>
        <w:t xml:space="preserve"> </w:t>
      </w:r>
    </w:p>
    <w:p w14:paraId="08FE51A6" w14:textId="77777777" w:rsidR="0055615C" w:rsidRDefault="0055615C" w:rsidP="0055615C">
      <w:r w:rsidRPr="0055615C">
        <w:rPr>
          <w:highlight w:val="magenta"/>
        </w:rPr>
        <w:t>How do you propose to address this gap?</w:t>
      </w:r>
      <w:r>
        <w:t xml:space="preserve"> </w:t>
      </w:r>
    </w:p>
    <w:p w14:paraId="1F8F0EA5" w14:textId="77777777" w:rsidR="0055615C" w:rsidRDefault="0055615C" w:rsidP="0055615C"/>
    <w:p w14:paraId="4E319267" w14:textId="77777777" w:rsidR="0055615C" w:rsidRDefault="0055615C" w:rsidP="0055615C"/>
    <w:p w14:paraId="5ECA57AD" w14:textId="77777777" w:rsidR="0055615C" w:rsidRDefault="0055615C" w:rsidP="0055615C">
      <w:r>
        <w:t xml:space="preserve">Light microscopy allows direct observation of living specimens with molecular specificity [1]; however, the diffraction limit restricts the resolution of conventional light microscopy to ~250 nm [2]. This century-old barrier has restricted our understanding of protein functions, interactions, and dynamics in the cellular context particularly at the sub-microns to nanometers length scale. Single molecule switching </w:t>
      </w:r>
      <w:proofErr w:type="spellStart"/>
      <w:r>
        <w:t>nanoscopy</w:t>
      </w:r>
      <w:proofErr w:type="spellEnd"/>
      <w:r>
        <w:t xml:space="preserve"> (SMSN or PALM/STORM) has overcome this fundamental limit and allows visualization of biological phenomena never seen before [3, 4]. </w:t>
      </w:r>
    </w:p>
    <w:p w14:paraId="13927505" w14:textId="77777777" w:rsidR="0055615C" w:rsidRDefault="0055615C" w:rsidP="0055615C">
      <w:r>
        <w:t xml:space="preserve">However, both custom-built and commercially available SMSN is still far from being a standard tool in biomedical research with practical usefulness severely limited due to: </w:t>
      </w:r>
    </w:p>
    <w:p w14:paraId="74A00D3E" w14:textId="77777777" w:rsidR="0055615C" w:rsidRDefault="0055615C" w:rsidP="0055615C"/>
    <w:p w14:paraId="13238A7D" w14:textId="77777777" w:rsidR="0055615C" w:rsidRDefault="0055615C" w:rsidP="0055615C"/>
    <w:p w14:paraId="70069A15" w14:textId="77777777" w:rsidR="0055615C" w:rsidRDefault="0055615C" w:rsidP="0055615C">
      <w:r>
        <w:t>•Slow speed. Traditional SMSN systems take minutes to hours to acquire an image, whereas many cellular events occur at the second time scale [5].</w:t>
      </w:r>
    </w:p>
    <w:p w14:paraId="11324F13" w14:textId="77777777" w:rsidR="0055615C" w:rsidRDefault="0055615C" w:rsidP="0055615C">
      <w:r>
        <w:t>•Limited to 2D and thin samples. Many biological processes happen deeper in the cellular volume or in thick tissue samples, which cannot be resolved with conventional SMSN [6].</w:t>
      </w:r>
    </w:p>
    <w:p w14:paraId="581972D8" w14:textId="77777777" w:rsidR="0055615C" w:rsidRDefault="0055615C" w:rsidP="0055615C">
      <w:r>
        <w:t>•Phototoxicity. Traditional SMSN requires laser intensity in the range of ~ 1-15 kW/cm2 generating large triplet state electron populations and therefore free radical species damaging cells and tissues [7].</w:t>
      </w:r>
    </w:p>
    <w:p w14:paraId="55849E5F" w14:textId="52105854" w:rsidR="0055615C" w:rsidRDefault="0055615C" w:rsidP="0055615C">
      <w:r>
        <w:t>•Strong reliance on user’s expertise. SMSN captures abundant but isolated emitters from probes with distinct switching behavior and requires extensive user expertise. Data analysis and visualization demands computational expertise and is time consuming [4]. This lack of an autonomous acquisition, analysis and visualization solution causes significant performance differences among samples, introduces human biases, and makes data quantification difficult.</w:t>
      </w:r>
    </w:p>
    <w:p w14:paraId="5BBC8EDB" w14:textId="77777777" w:rsidR="0055615C" w:rsidRDefault="0055615C" w:rsidP="0055615C"/>
    <w:p w14:paraId="6BC15A6C" w14:textId="77777777" w:rsidR="0055615C" w:rsidRDefault="0055615C" w:rsidP="0055615C"/>
    <w:p w14:paraId="73B6CC87" w14:textId="77777777" w:rsidR="0055615C" w:rsidRDefault="0055615C" w:rsidP="0055615C">
      <w:r>
        <w:t xml:space="preserve">Based on our recent invention of a prototype Whole-cell 4Pi Single Molecule Switching </w:t>
      </w:r>
      <w:proofErr w:type="spellStart"/>
      <w:r>
        <w:t>Nanoscopy</w:t>
      </w:r>
      <w:proofErr w:type="spellEnd"/>
      <w:r>
        <w:t xml:space="preserve"> (W-4PiSMSN) [8], we propose to develop a novel, integrated system that further combines light-sheet illumination, interferometric single molecule switching, super-resolution microscope with speed improvements at all process steps of automation, data handling, and data analysis. We will provide a first-time turn-key solution for ultra-</w:t>
      </w:r>
      <w:proofErr w:type="gramStart"/>
      <w:r>
        <w:t>high resolution</w:t>
      </w:r>
      <w:proofErr w:type="gramEnd"/>
      <w:r>
        <w:t xml:space="preserve"> studies of subcellular structures and dynamics in a wide range of model systems. </w:t>
      </w:r>
    </w:p>
    <w:p w14:paraId="46D15B71" w14:textId="77777777" w:rsidR="0055615C" w:rsidRDefault="0055615C" w:rsidP="0055615C"/>
    <w:p w14:paraId="38F267C4" w14:textId="6357AA9F" w:rsidR="0055615C" w:rsidRDefault="0055615C"/>
    <w:p w14:paraId="35399404" w14:textId="7CF039C3" w:rsidR="0055615C" w:rsidRDefault="0055615C">
      <w:r>
        <w:br w:type="page"/>
      </w:r>
    </w:p>
    <w:p w14:paraId="63E51602" w14:textId="5F6700CA" w:rsidR="0055615C" w:rsidRPr="0055615C" w:rsidRDefault="0055615C" w:rsidP="0055615C">
      <w:pPr>
        <w:rPr>
          <w:b/>
          <w:bCs/>
        </w:rPr>
      </w:pPr>
      <w:r w:rsidRPr="0055615C">
        <w:rPr>
          <w:b/>
          <w:bCs/>
        </w:rPr>
        <w:lastRenderedPageBreak/>
        <w:t xml:space="preserve">Funded Project: Aims Example </w:t>
      </w:r>
      <w:r>
        <w:rPr>
          <w:b/>
          <w:bCs/>
        </w:rPr>
        <w:t>2</w:t>
      </w:r>
    </w:p>
    <w:p w14:paraId="5A0844E6" w14:textId="77777777" w:rsidR="0055615C" w:rsidRDefault="0055615C" w:rsidP="0055615C">
      <w:r w:rsidRPr="0055615C">
        <w:rPr>
          <w:highlight w:val="yellow"/>
        </w:rPr>
        <w:t>What is the problem?</w:t>
      </w:r>
      <w:r>
        <w:t xml:space="preserve"> </w:t>
      </w:r>
    </w:p>
    <w:p w14:paraId="0A48107D" w14:textId="77777777" w:rsidR="0055615C" w:rsidRDefault="0055615C" w:rsidP="0055615C">
      <w:r w:rsidRPr="0055615C">
        <w:rPr>
          <w:highlight w:val="green"/>
        </w:rPr>
        <w:t>What has been done already to address this problem?</w:t>
      </w:r>
      <w:r>
        <w:t xml:space="preserve"> </w:t>
      </w:r>
    </w:p>
    <w:p w14:paraId="09AD323A" w14:textId="77777777" w:rsidR="0055615C" w:rsidRDefault="0055615C" w:rsidP="0055615C">
      <w:r w:rsidRPr="0055615C">
        <w:rPr>
          <w:highlight w:val="cyan"/>
        </w:rPr>
        <w:t xml:space="preserve">What is the gap that </w:t>
      </w:r>
      <w:proofErr w:type="gramStart"/>
      <w:r w:rsidRPr="0055615C">
        <w:rPr>
          <w:highlight w:val="cyan"/>
        </w:rPr>
        <w:t>still remains</w:t>
      </w:r>
      <w:proofErr w:type="gramEnd"/>
      <w:r w:rsidRPr="0055615C">
        <w:rPr>
          <w:highlight w:val="cyan"/>
        </w:rPr>
        <w:t>?</w:t>
      </w:r>
      <w:r>
        <w:t xml:space="preserve"> </w:t>
      </w:r>
    </w:p>
    <w:p w14:paraId="546C91FE" w14:textId="77777777" w:rsidR="0055615C" w:rsidRDefault="0055615C" w:rsidP="0055615C">
      <w:r w:rsidRPr="0055615C">
        <w:rPr>
          <w:highlight w:val="magenta"/>
        </w:rPr>
        <w:t>How do you propose to address this gap?</w:t>
      </w:r>
      <w:r>
        <w:t xml:space="preserve"> </w:t>
      </w:r>
    </w:p>
    <w:p w14:paraId="7FCF37E9" w14:textId="77777777" w:rsidR="0055615C" w:rsidRDefault="0055615C" w:rsidP="0055615C">
      <w:r>
        <w:t xml:space="preserve"> </w:t>
      </w:r>
    </w:p>
    <w:p w14:paraId="786D52AE" w14:textId="4177029E" w:rsidR="0055615C" w:rsidRDefault="0055615C" w:rsidP="0055615C">
      <w:r>
        <w:t xml:space="preserve"> Sample R21 Storyline from Val Watts, Department of Medicinal Chemistry and Molecular Pharmacology </w:t>
      </w:r>
    </w:p>
    <w:p w14:paraId="1509D1A7" w14:textId="77777777" w:rsidR="0055615C" w:rsidRDefault="0055615C" w:rsidP="0055615C">
      <w:r>
        <w:t xml:space="preserve">(This received a perfect score) </w:t>
      </w:r>
    </w:p>
    <w:p w14:paraId="34BCB1A2" w14:textId="77777777" w:rsidR="0055615C" w:rsidRDefault="0055615C" w:rsidP="0055615C">
      <w:r>
        <w:t xml:space="preserve"> </w:t>
      </w:r>
    </w:p>
    <w:p w14:paraId="45F77602" w14:textId="77777777" w:rsidR="0055615C" w:rsidRDefault="0055615C" w:rsidP="0055615C">
      <w:r>
        <w:t xml:space="preserve">Heterologous sensitization of adenylyl cyclase (AC) was first described in the laboratory of Nobel Laureate Dr. Marshall Nirenberg, who proposed that increased AC responsiveness following long-term morphine treatment was a mechanism of opiate tolerance and dependence (1). Heterologous sensitization occurs following persistent activation of several </w:t>
      </w:r>
      <w:proofErr w:type="spellStart"/>
      <w:r>
        <w:t>G.i</w:t>
      </w:r>
      <w:proofErr w:type="spellEnd"/>
      <w:r>
        <w:t xml:space="preserve">/o-coupled receptors in both cellular and animal models (for review see 2). Many of these receptors are associated with central nervous system disorders as well as pain and include D2-like dopamine receptors, 5HT1A receptors, and members of the opioid receptor family (2). For example, enhanced or persistent D2 dopamine receptor activation has been implicated in schizophrenia (3-5). Schizophrenics have also been reported to have increased levels of brain AC activity, with elevated cAMP levels in the cerebrospinal fluid (6-8), and there is evidence that AC inhibitors may have a therapeutic role in the treatment of excited psychosis (9). D2 dopamine </w:t>
      </w:r>
      <w:proofErr w:type="spellStart"/>
      <w:r>
        <w:t>receptorinduced</w:t>
      </w:r>
      <w:proofErr w:type="spellEnd"/>
      <w:r>
        <w:t xml:space="preserve"> heterologous sensitization of AC may also be relevant to the drug-induced side effects seen in many Parkinson’s patients. Specifically, long-term treatment with levodopa and selective D2 agonists (i.e., pramipexole and ropinirole) is associated with significant dyskinesias in Parkinson’s patients (10;11). A potential link between levodopa and enhanced cAMP signaling was reported previously (12), and several animal studies have confirmed that chronic levodopa or quinpirole (a selective D2 agonist) administration enhances AC-cAMP signaling and alters behavior (13-19). Heterologous sensitization has also been linked to the physical dependence associated with chronic administration of morphine (2;20;21). However, the precise mechanism(s) by which persistent </w:t>
      </w:r>
      <w:proofErr w:type="spellStart"/>
      <w:r>
        <w:t>G.i</w:t>
      </w:r>
      <w:proofErr w:type="spellEnd"/>
      <w:r>
        <w:t xml:space="preserve">/o-coupled receptor activation leads to increased AC responsiveness remains largely unknown. The lack of an identified molecular mechanism reflects the current state of the field. In the absence of identified molecular mechanisms and protein targets, animal studies and subsequent translational studies would appear to be in the very distant future. The contribution of our proposed research is expected to be the identification of novel AC binding partners involved with the molecular mechanisms of D2 dopamine receptor-induced heterologous sensitization. </w:t>
      </w:r>
    </w:p>
    <w:p w14:paraId="6886BC0D" w14:textId="77777777" w:rsidR="0055615C" w:rsidRDefault="0055615C" w:rsidP="0055615C"/>
    <w:p w14:paraId="75FD5D52" w14:textId="77777777" w:rsidR="0055615C" w:rsidRDefault="0055615C" w:rsidP="0055615C"/>
    <w:p w14:paraId="44A7DBDF" w14:textId="0DAC43B7" w:rsidR="0055615C" w:rsidRDefault="0055615C">
      <w:r>
        <w:br w:type="page"/>
      </w:r>
    </w:p>
    <w:p w14:paraId="3B9F807C" w14:textId="2F61C664" w:rsidR="0055615C" w:rsidRPr="0055615C" w:rsidRDefault="0055615C" w:rsidP="0055615C">
      <w:pPr>
        <w:rPr>
          <w:b/>
          <w:bCs/>
        </w:rPr>
      </w:pPr>
      <w:r w:rsidRPr="0055615C">
        <w:rPr>
          <w:b/>
          <w:bCs/>
        </w:rPr>
        <w:lastRenderedPageBreak/>
        <w:t xml:space="preserve">Funded Project: Aims Example </w:t>
      </w:r>
      <w:r>
        <w:rPr>
          <w:b/>
          <w:bCs/>
        </w:rPr>
        <w:t>3</w:t>
      </w:r>
    </w:p>
    <w:p w14:paraId="5E5B1DC1" w14:textId="76AAD0A0" w:rsidR="0055615C" w:rsidRDefault="0055615C" w:rsidP="0055615C">
      <w:r>
        <w:t xml:space="preserve">Dorothy </w:t>
      </w:r>
      <w:proofErr w:type="spellStart"/>
      <w:r>
        <w:t>Teegarden</w:t>
      </w:r>
      <w:proofErr w:type="spellEnd"/>
      <w:r>
        <w:t xml:space="preserve"> (NIH R01 CA232589-01A1; Obesity, Metabolism, and Breast Cancer Metastasis) https://projectreporter.nih.gov/project_info_details.cfm?aid=9759569&amp;icde=44354924 </w:t>
      </w:r>
    </w:p>
    <w:p w14:paraId="689150C0" w14:textId="77777777" w:rsidR="0055615C" w:rsidRDefault="0055615C" w:rsidP="0055615C">
      <w:r>
        <w:t xml:space="preserve"> </w:t>
      </w:r>
    </w:p>
    <w:p w14:paraId="64299C95" w14:textId="77777777" w:rsidR="0055615C" w:rsidRDefault="0055615C" w:rsidP="0055615C">
      <w:r w:rsidRPr="0055615C">
        <w:rPr>
          <w:highlight w:val="yellow"/>
        </w:rPr>
        <w:t>What is the problem?</w:t>
      </w:r>
      <w:r>
        <w:t xml:space="preserve"> </w:t>
      </w:r>
    </w:p>
    <w:p w14:paraId="2B68DBC5" w14:textId="77777777" w:rsidR="0055615C" w:rsidRDefault="0055615C" w:rsidP="0055615C">
      <w:r w:rsidRPr="0055615C">
        <w:rPr>
          <w:highlight w:val="green"/>
        </w:rPr>
        <w:t>What has been done already to address this problem?</w:t>
      </w:r>
      <w:r>
        <w:t xml:space="preserve"> </w:t>
      </w:r>
    </w:p>
    <w:p w14:paraId="70C3CDA9" w14:textId="77777777" w:rsidR="0055615C" w:rsidRDefault="0055615C" w:rsidP="0055615C">
      <w:r w:rsidRPr="0055615C">
        <w:rPr>
          <w:highlight w:val="cyan"/>
        </w:rPr>
        <w:t xml:space="preserve">What is the gap that </w:t>
      </w:r>
      <w:proofErr w:type="gramStart"/>
      <w:r w:rsidRPr="0055615C">
        <w:rPr>
          <w:highlight w:val="cyan"/>
        </w:rPr>
        <w:t>still remains</w:t>
      </w:r>
      <w:proofErr w:type="gramEnd"/>
      <w:r w:rsidRPr="0055615C">
        <w:rPr>
          <w:highlight w:val="cyan"/>
        </w:rPr>
        <w:t>?</w:t>
      </w:r>
      <w:r>
        <w:t xml:space="preserve"> </w:t>
      </w:r>
    </w:p>
    <w:p w14:paraId="22B5B5F8" w14:textId="77777777" w:rsidR="0055615C" w:rsidRDefault="0055615C" w:rsidP="0055615C">
      <w:r w:rsidRPr="0055615C">
        <w:rPr>
          <w:highlight w:val="magenta"/>
        </w:rPr>
        <w:t>How do you propose to address this gap?</w:t>
      </w:r>
      <w:r>
        <w:t xml:space="preserve"> </w:t>
      </w:r>
    </w:p>
    <w:p w14:paraId="1394D707" w14:textId="69840D8B" w:rsidR="0055615C" w:rsidRDefault="0055615C" w:rsidP="0055615C">
      <w:r>
        <w:t xml:space="preserve"> </w:t>
      </w:r>
    </w:p>
    <w:p w14:paraId="5009ED3A" w14:textId="77777777" w:rsidR="0055615C" w:rsidRDefault="0055615C" w:rsidP="0055615C">
      <w:r>
        <w:t xml:space="preserve">PROJECT SUMMARY </w:t>
      </w:r>
    </w:p>
    <w:p w14:paraId="27DEA110" w14:textId="77777777" w:rsidR="0055615C" w:rsidRDefault="0055615C" w:rsidP="0055615C">
      <w:r>
        <w:t xml:space="preserve"> </w:t>
      </w:r>
    </w:p>
    <w:p w14:paraId="22D5B83C" w14:textId="77777777" w:rsidR="0055615C" w:rsidRDefault="0055615C" w:rsidP="0055615C">
      <w:r>
        <w:t xml:space="preserve">While significant evidence has demonstrated that obesity increases the risk of metastasis, the molecular mechanisms by which obesity contributes to the metastatic progression of breast cancer are unclear. Further, recent research in cancer development and progression has highlighted the role of metabolic reprogramming, which results in an increased supply of the cellular building blocks necessary for the increased cell proliferation and in adaptations required for cell survival in changing nutrient- and oxygen-containing environments. Research from our team and others demonstrates that the metabolic enzyme, pyruvate carboxylase, is upregulated during obesity and that this upregulation correlates strongly with breast cancer progression.  Additional studies suggest that leptin, an adipokine whose expression is increased during obesity and whose receptor’s expression is enhanced in metastatic cells, drives pyruvate carboxylase expression in breast cancer cells. Importantly, recent studies demonstrate that genetic depletion of pyruvate carboxylase drastically inhibits breast cancer metastasis in several syngeneic mouse models.  Despite the supporting evidence that pyruvate carboxylase contributes to breast cancer metastasis under obese conditions, the mechanisms by which this enzyme exerts this effect remain poorly understood. In the proposed studies, the research team will evaluate the mechanistic basis by which pyruvate carboxylase regulates obesity-driven breast cancer metastasis. They will test the hypotheses that leptin increases pyruvate carboxylase expression in mammary tissue during obese states, and that pyruvate carboxylase is critical for both migration and survival of extracellular matrix detachment, providing metabolic flexibility (e.g., glucose utilization and fatty acid metabolism) during metastasis. These hypotheses will be tested through completion of the following aims: 1) define the mechanisms of PC expression during metastasis; 2) elucidate the metabolic mechanisms by which PC promotes metastasis; and 3) establish the mechanisms by which leptin-regulated PC expression contributes to obesity-driven metastasis. Completion of these studies will result in valuable mechanistic information that could guide future development of evidence-based recommendations for those who are overweight and obese and that will help reduce breast cancer metastasis. </w:t>
      </w:r>
    </w:p>
    <w:p w14:paraId="7C098BF7" w14:textId="77777777" w:rsidR="0055615C" w:rsidRDefault="0055615C" w:rsidP="0055615C">
      <w:r>
        <w:t xml:space="preserve"> </w:t>
      </w:r>
    </w:p>
    <w:p w14:paraId="6143A7E9" w14:textId="5E1AA51C" w:rsidR="0055615C" w:rsidRDefault="0055615C" w:rsidP="0055615C">
      <w:r>
        <w:t xml:space="preserve"> SPECIFIC AIMS </w:t>
      </w:r>
    </w:p>
    <w:p w14:paraId="2FC3C83E" w14:textId="77777777" w:rsidR="0055615C" w:rsidRDefault="0055615C" w:rsidP="0055615C">
      <w:r>
        <w:t xml:space="preserve">Accumulating evidence suggests that obesity increases the risk of breast cancer metastasis, but the mechanisms underlying the obesity-metastasis link remain unclear.  This is especially significant </w:t>
      </w:r>
      <w:proofErr w:type="gramStart"/>
      <w:r>
        <w:t>in light of</w:t>
      </w:r>
      <w:proofErr w:type="gramEnd"/>
      <w:r>
        <w:t xml:space="preserve"> the facts that 90% of breast cancer-related deaths are a consequence of </w:t>
      </w:r>
      <w:r>
        <w:lastRenderedPageBreak/>
        <w:t xml:space="preserve">metastasis and that the world is facing a growing obesity epidemic.  Thus, there is a critical need to better understand the molecular and metabolic mechanisms by which obesity contributes to the metastatic progression of breast cancer.  During breast tumorigenesis, mammary epithelial cells undergo metabolic reprogramming to increase the supply of cellular building blocks required for their increased proliferation.  Additional metabolic alterations occur when breast cancer progresses to metastatic disease. Indeed, cells migrating from a primary tumor to a distal organ, such as the lung, require extensive metabolic adaptations to survive changing external nutrient stresses and oxygen availability.  Moreover, we have established that obesity can exacerbate metastasis-associated metabolic reprogramming, although the specific metabolic targets underlying the obesity-metastasis link are unknown.   </w:t>
      </w:r>
    </w:p>
    <w:p w14:paraId="7DD84939" w14:textId="77777777" w:rsidR="0055615C" w:rsidRDefault="0055615C" w:rsidP="0055615C"/>
    <w:p w14:paraId="7DD50460" w14:textId="04E5C58C" w:rsidR="0055615C" w:rsidRDefault="0055615C" w:rsidP="0055615C">
      <w:r>
        <w:t xml:space="preserve">Recently, we and others have shown that pyruvate carboxylase (PC), an enzyme that converts pyruvate into oxaloacetate, is </w:t>
      </w:r>
      <w:proofErr w:type="gramStart"/>
      <w:r>
        <w:t>up-regulated</w:t>
      </w:r>
      <w:proofErr w:type="gramEnd"/>
      <w:r>
        <w:t xml:space="preserve"> in specific cell types during obesity and correlates strongly with breast cancer progression.  Further, a mechanistic link between obesity-driven metastasis and PC is suggested as: (1) leptin, an adipokine whose levels are increased in obese states, stimulates increased PC expression in breast cancer cells; (2) leptin receptor expression is increased in cells from metastatic sites and promotes specific steps in metastasis, including migration; and (3) directed depletion of leptin receptor expression results in a reduction in PC expression in metastatic cells. Using several syngeneic tumor models, we recently showed that genetic depletion of PC drastically inhibits breast cancer metastasis.  However, the mechanism by which PC overexpression increases breast cancer metastasis under obese conditions remains poorly understood.  This significant gap in the understanding of PC’s contribution to breast cancer metastasis precludes the development of mechanism-based therapies and interventions that could mitigate metastatic progression, particularly in obese women.   </w:t>
      </w:r>
    </w:p>
    <w:p w14:paraId="16D95F1E" w14:textId="77777777" w:rsidR="0055615C" w:rsidRDefault="0055615C" w:rsidP="0055615C"/>
    <w:p w14:paraId="7015E144" w14:textId="6D7E06D7" w:rsidR="0055615C" w:rsidRDefault="0055615C" w:rsidP="0055615C">
      <w:r>
        <w:t xml:space="preserve">The objective of the proposed study is to determine the mechanistic basis by which PC regulates obesity-driven, breast cancer metastasis.  Our overall hypothesis is that leptin increases PC expression in mammary tissue during obese states, and that PC is critical for both migration and survival following extracellular matrix (ECM) detachment by providing metabolic flexibility (e.g., glucose utilization and fatty acid metabolism) during metastasis.  Our expertise in breast cancer and energy metabolism (D. </w:t>
      </w:r>
      <w:proofErr w:type="spellStart"/>
      <w:r>
        <w:t>Teegarden</w:t>
      </w:r>
      <w:proofErr w:type="spellEnd"/>
      <w:r>
        <w:t xml:space="preserve">), obesity and breast cancer (S. </w:t>
      </w:r>
      <w:proofErr w:type="spellStart"/>
      <w:r>
        <w:t>Hursting</w:t>
      </w:r>
      <w:proofErr w:type="spellEnd"/>
      <w:r>
        <w:t xml:space="preserve">), models of metastasis (M. Wendt), and PC and energy metabolism (S. Donkin), places us in a strong position to address the following specific aims:  </w:t>
      </w:r>
    </w:p>
    <w:p w14:paraId="4C9A5E45" w14:textId="77777777" w:rsidR="0055615C" w:rsidRDefault="0055615C" w:rsidP="0055615C"/>
    <w:p w14:paraId="126FDA6D" w14:textId="2C22C2DD" w:rsidR="0055615C" w:rsidRDefault="0055615C" w:rsidP="0055615C">
      <w:r>
        <w:t xml:space="preserve">Aim 1:  Define the mechanisms of PC regulation during metastasis.  </w:t>
      </w:r>
    </w:p>
    <w:p w14:paraId="681B50A7" w14:textId="77777777" w:rsidR="0055615C" w:rsidRDefault="0055615C" w:rsidP="0055615C">
      <w:r>
        <w:t xml:space="preserve">The expression of PC is upregulated during the processes of pulmonary metastasis. However, </w:t>
      </w:r>
      <w:proofErr w:type="gramStart"/>
      <w:r>
        <w:t>when</w:t>
      </w:r>
      <w:proofErr w:type="gramEnd"/>
      <w:r>
        <w:t xml:space="preserve"> and how this upregulation takes place remains unclear. Our working hypothesis is that leptin increases PC expression in a subset of primary tumor cells, and promotes their migration, </w:t>
      </w:r>
      <w:proofErr w:type="gramStart"/>
      <w:r>
        <w:t>dissemination</w:t>
      </w:r>
      <w:proofErr w:type="gramEnd"/>
      <w:r>
        <w:t xml:space="preserve"> and ultimate metastasis.  We will test this hypothesis in both cell culture and in vivo models of metastasis using genetic manipulations in combination with a dual-luminescent reporter system. </w:t>
      </w:r>
    </w:p>
    <w:p w14:paraId="20562AFA" w14:textId="77777777" w:rsidR="0055615C" w:rsidRDefault="0055615C" w:rsidP="0055615C"/>
    <w:p w14:paraId="7AF1F453" w14:textId="591F4991" w:rsidR="0055615C" w:rsidRDefault="0055615C" w:rsidP="0055615C">
      <w:r>
        <w:t xml:space="preserve">Aim 2:  Elucidate the metabolic mechanisms by which PC promotes metastasis. </w:t>
      </w:r>
    </w:p>
    <w:p w14:paraId="2F37164E" w14:textId="77777777" w:rsidR="0055615C" w:rsidRDefault="0055615C" w:rsidP="0055615C">
      <w:r>
        <w:lastRenderedPageBreak/>
        <w:t xml:space="preserve">Our working hypothesis is that PC is not only critical to the flux of glucose into the tricarboxylic acid (TCA) cycle but also to the synthesis and utilization of fatty acids for increased energy demands during both migration and ECM detachment.  We will test this hypothesis using metabolomics and </w:t>
      </w:r>
      <w:proofErr w:type="spellStart"/>
      <w:r>
        <w:t>lipidomics</w:t>
      </w:r>
      <w:proofErr w:type="spellEnd"/>
      <w:r>
        <w:t xml:space="preserve"> approaches, including targeted stably labelled isotope flux and untargeted analyses. These approaches will be combined with genetic manipulations and chemical inhibitors to validate our findings. </w:t>
      </w:r>
    </w:p>
    <w:p w14:paraId="45D76A0A" w14:textId="77777777" w:rsidR="0055615C" w:rsidRDefault="0055615C" w:rsidP="0055615C"/>
    <w:p w14:paraId="6F5F7571" w14:textId="24BB707E" w:rsidR="0055615C" w:rsidRDefault="0055615C" w:rsidP="0055615C">
      <w:r>
        <w:t xml:space="preserve">Aim 3:  Establish the mechanisms by which leptin-regulated PC expression contributes to obesity-driven metastasis. </w:t>
      </w:r>
    </w:p>
    <w:p w14:paraId="3C29585A" w14:textId="77777777" w:rsidR="0055615C" w:rsidRDefault="0055615C" w:rsidP="0055615C">
      <w:r>
        <w:t xml:space="preserve">Our working hypothesis is that PC expression will be further exacerbated under obese conditions in a leptin-dependent manner. Using our array of obesity-driven animal models of metastasis, we will define the specific steps of metastasis that are driven by this </w:t>
      </w:r>
      <w:proofErr w:type="spellStart"/>
      <w:proofErr w:type="gramStart"/>
      <w:r>
        <w:t>obesity:leptin</w:t>
      </w:r>
      <w:proofErr w:type="gramEnd"/>
      <w:r>
        <w:t>:PC</w:t>
      </w:r>
      <w:proofErr w:type="spellEnd"/>
      <w:r>
        <w:t xml:space="preserve"> axis.  </w:t>
      </w:r>
    </w:p>
    <w:p w14:paraId="05C74471" w14:textId="77777777" w:rsidR="0055615C" w:rsidRDefault="0055615C" w:rsidP="0055615C"/>
    <w:p w14:paraId="192F488B" w14:textId="740BDA6C" w:rsidR="0055615C" w:rsidRDefault="0055615C" w:rsidP="0055615C">
      <w:r>
        <w:t xml:space="preserve">The information produced through this work will allow for adoption of PC-targeted therapies and lifestyle practices capable of preventing metastases and metastatic recurrence as well as prolonging high quality of life expectancies for stage IV patients. </w:t>
      </w:r>
    </w:p>
    <w:p w14:paraId="45FEB9CA" w14:textId="77777777" w:rsidR="0055615C" w:rsidRDefault="0055615C" w:rsidP="0055615C">
      <w:r>
        <w:t xml:space="preserve"> </w:t>
      </w:r>
    </w:p>
    <w:p w14:paraId="26E4E5A7" w14:textId="77777777" w:rsidR="0055615C" w:rsidRDefault="0055615C"/>
    <w:sectPr w:rsidR="00556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BoldItalicMT">
    <w:altName w:val="Times New Roman"/>
    <w:panose1 w:val="020B0604020202020204"/>
    <w:charset w:val="00"/>
    <w:family w:val="roman"/>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FE71" w14:textId="77777777" w:rsidR="00C406E6" w:rsidRDefault="001C10FB">
    <w:pPr>
      <w:pStyle w:val="BodyText"/>
      <w:spacing w:line="14" w:lineRule="auto"/>
      <w:ind w:left="0"/>
      <w:rPr>
        <w:sz w:val="20"/>
      </w:rPr>
    </w:pPr>
    <w:r>
      <w:rPr>
        <w:noProof/>
      </w:rPr>
      <w:pict w14:anchorId="01ACD96C">
        <v:shapetype id="_x0000_t202" coordsize="21600,21600" o:spt="202" path="m,l,21600r21600,l21600,xe">
          <v:stroke joinstyle="miter"/>
          <v:path gradientshapeok="t" o:connecttype="rect"/>
        </v:shapetype>
        <v:shape id="docshape1" o:spid="_x0000_s1025" type="#_x0000_t202" style="position:absolute;margin-left:300.25pt;margin-top:729.1pt;width:12.5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" filled="f" stroked="f">
          <o:lock v:ext="edit" aspectratio="t" verticies="t" text="t" shapetype="t"/>
          <v:textbox inset="0,0,0,0">
            <w:txbxContent>
              <w:p w14:paraId="59F025EF" w14:textId="77777777" w:rsidR="00C406E6" w:rsidRDefault="00000000">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642C"/>
    <w:multiLevelType w:val="hybridMultilevel"/>
    <w:tmpl w:val="684EF1F8"/>
    <w:lvl w:ilvl="0" w:tplc="5E2C592E">
      <w:numFmt w:val="bullet"/>
      <w:lvlText w:val="•"/>
      <w:lvlJc w:val="left"/>
      <w:pPr>
        <w:ind w:left="840" w:hanging="361"/>
      </w:pPr>
      <w:rPr>
        <w:rFonts w:ascii="Arial" w:eastAsia="Arial" w:hAnsi="Arial" w:cs="Arial" w:hint="default"/>
        <w:b w:val="0"/>
        <w:bCs w:val="0"/>
        <w:i w:val="0"/>
        <w:iCs w:val="0"/>
        <w:w w:val="100"/>
        <w:sz w:val="22"/>
        <w:szCs w:val="22"/>
        <w:lang w:val="en-US" w:eastAsia="en-US" w:bidi="ar-SA"/>
      </w:rPr>
    </w:lvl>
    <w:lvl w:ilvl="1" w:tplc="C3D8AC3E">
      <w:numFmt w:val="bullet"/>
      <w:lvlText w:val="•"/>
      <w:lvlJc w:val="left"/>
      <w:pPr>
        <w:ind w:left="1714" w:hanging="361"/>
      </w:pPr>
      <w:rPr>
        <w:rFonts w:hint="default"/>
        <w:lang w:val="en-US" w:eastAsia="en-US" w:bidi="ar-SA"/>
      </w:rPr>
    </w:lvl>
    <w:lvl w:ilvl="2" w:tplc="6DF6D4AA">
      <w:numFmt w:val="bullet"/>
      <w:lvlText w:val="•"/>
      <w:lvlJc w:val="left"/>
      <w:pPr>
        <w:ind w:left="2588" w:hanging="361"/>
      </w:pPr>
      <w:rPr>
        <w:rFonts w:hint="default"/>
        <w:lang w:val="en-US" w:eastAsia="en-US" w:bidi="ar-SA"/>
      </w:rPr>
    </w:lvl>
    <w:lvl w:ilvl="3" w:tplc="2C44954E">
      <w:numFmt w:val="bullet"/>
      <w:lvlText w:val="•"/>
      <w:lvlJc w:val="left"/>
      <w:pPr>
        <w:ind w:left="3462" w:hanging="361"/>
      </w:pPr>
      <w:rPr>
        <w:rFonts w:hint="default"/>
        <w:lang w:val="en-US" w:eastAsia="en-US" w:bidi="ar-SA"/>
      </w:rPr>
    </w:lvl>
    <w:lvl w:ilvl="4" w:tplc="58E827CE">
      <w:numFmt w:val="bullet"/>
      <w:lvlText w:val="•"/>
      <w:lvlJc w:val="left"/>
      <w:pPr>
        <w:ind w:left="4336" w:hanging="361"/>
      </w:pPr>
      <w:rPr>
        <w:rFonts w:hint="default"/>
        <w:lang w:val="en-US" w:eastAsia="en-US" w:bidi="ar-SA"/>
      </w:rPr>
    </w:lvl>
    <w:lvl w:ilvl="5" w:tplc="94DAE63E">
      <w:numFmt w:val="bullet"/>
      <w:lvlText w:val="•"/>
      <w:lvlJc w:val="left"/>
      <w:pPr>
        <w:ind w:left="5210" w:hanging="361"/>
      </w:pPr>
      <w:rPr>
        <w:rFonts w:hint="default"/>
        <w:lang w:val="en-US" w:eastAsia="en-US" w:bidi="ar-SA"/>
      </w:rPr>
    </w:lvl>
    <w:lvl w:ilvl="6" w:tplc="7C9CFE06">
      <w:numFmt w:val="bullet"/>
      <w:lvlText w:val="•"/>
      <w:lvlJc w:val="left"/>
      <w:pPr>
        <w:ind w:left="6084" w:hanging="361"/>
      </w:pPr>
      <w:rPr>
        <w:rFonts w:hint="default"/>
        <w:lang w:val="en-US" w:eastAsia="en-US" w:bidi="ar-SA"/>
      </w:rPr>
    </w:lvl>
    <w:lvl w:ilvl="7" w:tplc="F1F62722">
      <w:numFmt w:val="bullet"/>
      <w:lvlText w:val="•"/>
      <w:lvlJc w:val="left"/>
      <w:pPr>
        <w:ind w:left="6958" w:hanging="361"/>
      </w:pPr>
      <w:rPr>
        <w:rFonts w:hint="default"/>
        <w:lang w:val="en-US" w:eastAsia="en-US" w:bidi="ar-SA"/>
      </w:rPr>
    </w:lvl>
    <w:lvl w:ilvl="8" w:tplc="9A60F5B2">
      <w:numFmt w:val="bullet"/>
      <w:lvlText w:val="•"/>
      <w:lvlJc w:val="left"/>
      <w:pPr>
        <w:ind w:left="7832" w:hanging="361"/>
      </w:pPr>
      <w:rPr>
        <w:rFonts w:hint="default"/>
        <w:lang w:val="en-US" w:eastAsia="en-US" w:bidi="ar-SA"/>
      </w:rPr>
    </w:lvl>
  </w:abstractNum>
  <w:num w:numId="1" w16cid:durableId="13206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1026"/>
    <o:shapelayout v:ext="edit">
      <o:idmap v:ext="edit" data="1"/>
    </o:shapelayout>
  </w:hdrShapeDefault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5C"/>
    <w:rsid w:val="001C10FB"/>
    <w:rsid w:val="00295E59"/>
    <w:rsid w:val="004B3E09"/>
    <w:rsid w:val="0055615C"/>
    <w:rsid w:val="00921520"/>
    <w:rsid w:val="00D034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9F67BD"/>
  <w15:chartTrackingRefBased/>
  <w15:docId w15:val="{BDD40F8D-1B0B-A349-AF79-5096D50D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5E59"/>
    <w:pPr>
      <w:widowControl w:val="0"/>
      <w:autoSpaceDE w:val="0"/>
      <w:autoSpaceDN w:val="0"/>
      <w:ind w:left="120"/>
      <w:outlineLvl w:val="0"/>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E59"/>
    <w:rPr>
      <w:rFonts w:ascii="Times New Roman" w:eastAsia="Times New Roman" w:hAnsi="Times New Roman" w:cs="Times New Roman"/>
      <w:b/>
      <w:bCs/>
      <w:sz w:val="36"/>
      <w:szCs w:val="36"/>
      <w:lang w:eastAsia="en-US"/>
    </w:rPr>
  </w:style>
  <w:style w:type="paragraph" w:styleId="BodyText">
    <w:name w:val="Body Text"/>
    <w:basedOn w:val="Normal"/>
    <w:link w:val="BodyTextChar"/>
    <w:uiPriority w:val="1"/>
    <w:qFormat/>
    <w:rsid w:val="00295E59"/>
    <w:pPr>
      <w:widowControl w:val="0"/>
      <w:autoSpaceDE w:val="0"/>
      <w:autoSpaceDN w:val="0"/>
      <w:ind w:left="840"/>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1"/>
    <w:rsid w:val="00295E59"/>
    <w:rPr>
      <w:rFonts w:ascii="Times New Roman" w:eastAsia="Times New Roman" w:hAnsi="Times New Roman" w:cs="Times New Roman"/>
      <w:sz w:val="22"/>
      <w:szCs w:val="22"/>
      <w:lang w:eastAsia="en-US"/>
    </w:rPr>
  </w:style>
  <w:style w:type="paragraph" w:styleId="ListParagraph">
    <w:name w:val="List Paragraph"/>
    <w:basedOn w:val="Normal"/>
    <w:uiPriority w:val="1"/>
    <w:qFormat/>
    <w:rsid w:val="00295E59"/>
    <w:pPr>
      <w:widowControl w:val="0"/>
      <w:autoSpaceDE w:val="0"/>
      <w:autoSpaceDN w:val="0"/>
      <w:spacing w:before="10"/>
      <w:ind w:left="840" w:hanging="361"/>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nsf.gov/awardsearch/showAward?AWD_ID=1626197&amp;HistoricalAwards=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2881</Words>
  <Characters>16424</Characters>
  <Application>Microsoft Office Word</Application>
  <DocSecurity>0</DocSecurity>
  <Lines>136</Lines>
  <Paragraphs>38</Paragraphs>
  <ScaleCrop>false</ScaleCrop>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Brent Thomas</dc:creator>
  <cp:keywords/>
  <dc:description/>
  <cp:lastModifiedBy>Ladd, Brent Thomas</cp:lastModifiedBy>
  <cp:revision>2</cp:revision>
  <dcterms:created xsi:type="dcterms:W3CDTF">2023-01-17T19:26:00Z</dcterms:created>
  <dcterms:modified xsi:type="dcterms:W3CDTF">2023-01-17T19:40:00Z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2023-01-17T19:33:37Z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ecfadab2-5536-4fbf-b35c-01417f743326</vt:lpwstr>
  </property>
  <property fmtid="{D5CDD505-2E9C-101B-9397-08002B2CF9AE}" pid="8" name="MSIP_Label_4044bd30-2ed7-4c9d-9d12-46200872a97b_ContentBits">
    <vt:lpwstr>0</vt:lpwstr>
  </property>
</Properties>
</file>