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038EF" w14:textId="07C6073E" w:rsidR="00AF5DC9" w:rsidRDefault="00C60627" w:rsidP="00AF5DC9">
      <w:pPr>
        <w:ind w:left="720" w:hanging="7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graduate course</w:t>
      </w:r>
      <w:r w:rsidR="00116B59">
        <w:rPr>
          <w:rFonts w:ascii="Calibri" w:hAnsi="Calibri" w:cs="Calibri"/>
          <w:b/>
          <w:bCs/>
        </w:rPr>
        <w:t xml:space="preserve"> (1-credit – 1 meeting/week)</w:t>
      </w:r>
    </w:p>
    <w:p w14:paraId="3E631D81" w14:textId="60BFCD90" w:rsidR="00C60627" w:rsidRDefault="00C60627" w:rsidP="00AF5DC9">
      <w:pPr>
        <w:ind w:left="720" w:hanging="7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CE697  Dimensional analysis, scaling, and similarity:  Physics, </w:t>
      </w:r>
      <w:proofErr w:type="spellStart"/>
      <w:r>
        <w:rPr>
          <w:rFonts w:ascii="Calibri" w:hAnsi="Calibri" w:cs="Calibri"/>
          <w:b/>
          <w:bCs/>
        </w:rPr>
        <w:t>asymptotics</w:t>
      </w:r>
      <w:proofErr w:type="spellEnd"/>
      <w:r>
        <w:rPr>
          <w:rFonts w:ascii="Calibri" w:hAnsi="Calibri" w:cs="Calibri"/>
          <w:b/>
          <w:bCs/>
        </w:rPr>
        <w:t>, and statistics</w:t>
      </w:r>
    </w:p>
    <w:p w14:paraId="02501AA6" w14:textId="0454D017" w:rsidR="00116B59" w:rsidRDefault="00116B59" w:rsidP="00AF5DC9">
      <w:pPr>
        <w:ind w:left="720" w:hanging="7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Tentatively scheduled for W12:30 pm HAMP2113</w:t>
      </w:r>
    </w:p>
    <w:p w14:paraId="154BBC88" w14:textId="1D44A7DF" w:rsidR="00C60627" w:rsidRPr="00C60627" w:rsidRDefault="00C60627" w:rsidP="00C60627">
      <w:pPr>
        <w:jc w:val="both"/>
        <w:rPr>
          <w:rFonts w:ascii="Calibri" w:hAnsi="Calibri" w:cs="Calibri"/>
        </w:rPr>
      </w:pPr>
      <w:r w:rsidRPr="00C60627">
        <w:rPr>
          <w:rFonts w:ascii="Calibri" w:hAnsi="Calibri" w:cs="Calibri"/>
        </w:rPr>
        <w:t xml:space="preserve">Dimensional analysis is a general tool for designing experiments and organizing experimental data in </w:t>
      </w:r>
      <w:r w:rsidR="00AF5DC9">
        <w:rPr>
          <w:rFonts w:ascii="Calibri" w:hAnsi="Calibri" w:cs="Calibri"/>
        </w:rPr>
        <w:t xml:space="preserve">a </w:t>
      </w:r>
      <w:r w:rsidRPr="00C60627">
        <w:rPr>
          <w:rFonts w:ascii="Calibri" w:hAnsi="Calibri" w:cs="Calibri"/>
        </w:rPr>
        <w:t xml:space="preserve">physically meaningful manner, primarily in but not necessarily restricted to mechanics-oriented fields.  It emphasizes the development of relationships between dimensionless groups, thus ensuring dimensional homogeneity, </w:t>
      </w:r>
      <w:r>
        <w:rPr>
          <w:rFonts w:ascii="Calibri" w:hAnsi="Calibri" w:cs="Calibri"/>
        </w:rPr>
        <w:t>which</w:t>
      </w:r>
      <w:r w:rsidRPr="00C60627">
        <w:rPr>
          <w:rFonts w:ascii="Calibri" w:hAnsi="Calibri" w:cs="Calibri"/>
        </w:rPr>
        <w:t xml:space="preserve"> can yield relationships less sensitive to changes in scale. The course reviews basic concepts such as the Buckingham-Pi theorem and the analysis of governing equations, but then also explore</w:t>
      </w:r>
      <w:r>
        <w:rPr>
          <w:rFonts w:ascii="Calibri" w:hAnsi="Calibri" w:cs="Calibri"/>
        </w:rPr>
        <w:t>s</w:t>
      </w:r>
      <w:r w:rsidRPr="00C60627">
        <w:rPr>
          <w:rFonts w:ascii="Calibri" w:hAnsi="Calibri" w:cs="Calibri"/>
        </w:rPr>
        <w:t xml:space="preserve"> the related concepts of scaling and similarity.  The role of asymptotic arguments </w:t>
      </w:r>
      <w:r w:rsidR="00AF5DC9">
        <w:rPr>
          <w:rFonts w:ascii="Calibri" w:hAnsi="Calibri" w:cs="Calibri"/>
        </w:rPr>
        <w:t>is emphasized, and</w:t>
      </w:r>
      <w:r w:rsidR="002E00EF">
        <w:rPr>
          <w:rFonts w:ascii="Calibri" w:hAnsi="Calibri" w:cs="Calibri"/>
        </w:rPr>
        <w:t xml:space="preserve"> </w:t>
      </w:r>
      <w:r w:rsidRPr="00C60627">
        <w:rPr>
          <w:rFonts w:ascii="Calibri" w:hAnsi="Calibri" w:cs="Calibri"/>
        </w:rPr>
        <w:t xml:space="preserve">implications for statistical analysis of the resulting dimensionless relationship are also </w:t>
      </w:r>
      <w:r w:rsidR="00AF5DC9">
        <w:rPr>
          <w:rFonts w:ascii="Calibri" w:hAnsi="Calibri" w:cs="Calibri"/>
        </w:rPr>
        <w:t>discussed</w:t>
      </w:r>
      <w:r w:rsidRPr="00C60627">
        <w:rPr>
          <w:rFonts w:ascii="Calibri" w:hAnsi="Calibri" w:cs="Calibri"/>
        </w:rPr>
        <w:t>.  Much of the lecture part of the course will discuss examples of dimensional analysis of problems for which solutions are known or at least widely accepted</w:t>
      </w:r>
      <w:r w:rsidR="00AF5DC9">
        <w:rPr>
          <w:rFonts w:ascii="Calibri" w:hAnsi="Calibri" w:cs="Calibri"/>
        </w:rPr>
        <w:t>, with the aim of</w:t>
      </w:r>
      <w:r w:rsidRPr="00C60627">
        <w:rPr>
          <w:rFonts w:ascii="Calibri" w:hAnsi="Calibri" w:cs="Calibri"/>
        </w:rPr>
        <w:t xml:space="preserve"> provid</w:t>
      </w:r>
      <w:r w:rsidR="00AF5DC9">
        <w:rPr>
          <w:rFonts w:ascii="Calibri" w:hAnsi="Calibri" w:cs="Calibri"/>
        </w:rPr>
        <w:t>ing</w:t>
      </w:r>
      <w:r w:rsidRPr="00C60627">
        <w:rPr>
          <w:rFonts w:ascii="Calibri" w:hAnsi="Calibri" w:cs="Calibri"/>
        </w:rPr>
        <w:t xml:space="preserve"> guid</w:t>
      </w:r>
      <w:r w:rsidR="00116B59">
        <w:rPr>
          <w:rFonts w:ascii="Calibri" w:hAnsi="Calibri" w:cs="Calibri"/>
        </w:rPr>
        <w:t>ance to</w:t>
      </w:r>
      <w:r w:rsidRPr="00C60627">
        <w:rPr>
          <w:rFonts w:ascii="Calibri" w:hAnsi="Calibri" w:cs="Calibri"/>
        </w:rPr>
        <w:t xml:space="preserve"> applying dimen</w:t>
      </w:r>
      <w:r w:rsidR="00116B59">
        <w:rPr>
          <w:rFonts w:ascii="Calibri" w:hAnsi="Calibri" w:cs="Calibri"/>
        </w:rPr>
        <w:softHyphen/>
      </w:r>
      <w:r w:rsidRPr="00C60627">
        <w:rPr>
          <w:rFonts w:ascii="Calibri" w:hAnsi="Calibri" w:cs="Calibri"/>
        </w:rPr>
        <w:t>sional analysis and scaling arguments to problems for which solutions are not available.  This will be a part-lecture part-seminar course; in the seminar part of the course, students will be asked to give in-class presentation of either their own work or from the research literature where the methods of dimensional analysis are applied.</w:t>
      </w:r>
    </w:p>
    <w:p w14:paraId="6412B91F" w14:textId="376F2820" w:rsidR="00817895" w:rsidRPr="00197DE5" w:rsidRDefault="00197DE5" w:rsidP="00116B59">
      <w:pPr>
        <w:spacing w:after="60"/>
        <w:rPr>
          <w:rFonts w:ascii="Calibri" w:hAnsi="Calibri" w:cs="Calibri"/>
          <w:b/>
          <w:bCs/>
        </w:rPr>
      </w:pPr>
      <w:r w:rsidRPr="00197DE5">
        <w:rPr>
          <w:rFonts w:ascii="Calibri" w:hAnsi="Calibri" w:cs="Calibri"/>
          <w:b/>
          <w:bCs/>
        </w:rPr>
        <w:t>Potential references for a course on dimensional analysis</w:t>
      </w:r>
    </w:p>
    <w:p w14:paraId="2B2E452C" w14:textId="79322AA8" w:rsidR="00197DE5" w:rsidRDefault="00197DE5" w:rsidP="00197DE5">
      <w:pPr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Dimensional analysis is usually discussed in an elementary fashion in standard undergraduate </w:t>
      </w:r>
      <w:r w:rsidR="005C2C99">
        <w:rPr>
          <w:rFonts w:ascii="Calibri" w:hAnsi="Calibri" w:cs="Calibri"/>
        </w:rPr>
        <w:t xml:space="preserve">and graduate </w:t>
      </w:r>
      <w:r>
        <w:rPr>
          <w:rFonts w:ascii="Calibri" w:hAnsi="Calibri" w:cs="Calibri"/>
        </w:rPr>
        <w:t xml:space="preserve">texts on fluid mechanics, such as </w:t>
      </w:r>
    </w:p>
    <w:p w14:paraId="08F5C6F9" w14:textId="4E4C941E" w:rsidR="00C60627" w:rsidRDefault="00C60627" w:rsidP="00197DE5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Fox, R. W. and McDonald, A. T. (1999).  Introduction to Fluid Mechanics, 5</w:t>
      </w:r>
      <w:r w:rsidRPr="00C60627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ed., Wiley.</w:t>
      </w:r>
    </w:p>
    <w:p w14:paraId="27F63A57" w14:textId="523C73D6" w:rsidR="005C2C99" w:rsidRDefault="005C2C99" w:rsidP="00197DE5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Liggett, J. A. (1994).  Fluid Mechanics, McGraw-Hill.</w:t>
      </w:r>
    </w:p>
    <w:p w14:paraId="04EBC0A4" w14:textId="2C44FB82" w:rsidR="00C60627" w:rsidRDefault="00C60627" w:rsidP="00C60627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Munson, B. R., Young, D. F., </w:t>
      </w:r>
      <w:proofErr w:type="spellStart"/>
      <w:r>
        <w:rPr>
          <w:rFonts w:ascii="Calibri" w:hAnsi="Calibri" w:cs="Calibri"/>
        </w:rPr>
        <w:t>Okiishi</w:t>
      </w:r>
      <w:proofErr w:type="spellEnd"/>
      <w:r>
        <w:rPr>
          <w:rFonts w:ascii="Calibri" w:hAnsi="Calibri" w:cs="Calibri"/>
        </w:rPr>
        <w:t>, T. H., and Huebsch, W. W. (2009).  Fundamentals of Fluid Mechanics, 6</w:t>
      </w:r>
      <w:r w:rsidRPr="00197DE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ed., Wiley.</w:t>
      </w:r>
    </w:p>
    <w:p w14:paraId="22F923B8" w14:textId="4ACA423F" w:rsidR="005C2C99" w:rsidRDefault="005C2C99" w:rsidP="00197DE5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More specialized or advanced discussions of dimensional analysis and related topics include:</w:t>
      </w:r>
    </w:p>
    <w:p w14:paraId="3BEA4F8E" w14:textId="03BEC87A" w:rsidR="005C2C99" w:rsidRDefault="005C2C99" w:rsidP="005C2C99">
      <w:pPr>
        <w:spacing w:after="60"/>
        <w:ind w:left="720" w:hanging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Barenblatt</w:t>
      </w:r>
      <w:proofErr w:type="spellEnd"/>
      <w:r>
        <w:rPr>
          <w:rFonts w:ascii="Calibri" w:hAnsi="Calibri" w:cs="Calibri"/>
        </w:rPr>
        <w:t xml:space="preserve">, G. I. (1996).  Scaling, self-similarity, and intermediate </w:t>
      </w:r>
      <w:proofErr w:type="spellStart"/>
      <w:r>
        <w:rPr>
          <w:rFonts w:ascii="Calibri" w:hAnsi="Calibri" w:cs="Calibri"/>
        </w:rPr>
        <w:t>asymptotics</w:t>
      </w:r>
      <w:proofErr w:type="spellEnd"/>
      <w:r>
        <w:rPr>
          <w:rFonts w:ascii="Calibri" w:hAnsi="Calibri" w:cs="Calibri"/>
        </w:rPr>
        <w:t>, Cambridge University Press.</w:t>
      </w:r>
    </w:p>
    <w:p w14:paraId="0935D739" w14:textId="0A4AD625" w:rsidR="005C2C99" w:rsidRDefault="005C2C99" w:rsidP="00AF5DC9">
      <w:pPr>
        <w:spacing w:after="6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Cantwell, B. J. (2002).  Introduction to Symmetry Analysis, Cambridge University Press.</w:t>
      </w:r>
    </w:p>
    <w:p w14:paraId="3042E857" w14:textId="0C1E5281" w:rsidR="00AF5DC9" w:rsidRDefault="00AF5DC9" w:rsidP="005C2C99">
      <w:pPr>
        <w:spacing w:after="6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Gibbings, J. C. (2011).  Dimensional Analysis, Springer. Springer.</w:t>
      </w:r>
    </w:p>
    <w:p w14:paraId="2393E2C1" w14:textId="51157425" w:rsidR="00AF5DC9" w:rsidRDefault="00AF5DC9" w:rsidP="005C2C99">
      <w:pPr>
        <w:spacing w:after="6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Longo, S. C. (2022).  Principles and Applications of Dimensional Analysis and Similarity, </w:t>
      </w:r>
    </w:p>
    <w:p w14:paraId="13A151B9" w14:textId="3CEEB7E7" w:rsidR="005C2C99" w:rsidRDefault="005C2C99" w:rsidP="00197DE5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Turcotte, D. L. (1997).  Fractals and Chaos in Geology and Geophysics, 2</w:t>
      </w:r>
      <w:r w:rsidRPr="005C2C9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ed., Cambridge University Press.</w:t>
      </w:r>
    </w:p>
    <w:p w14:paraId="2D4D273B" w14:textId="7AA0ECF4" w:rsidR="00116B59" w:rsidRPr="00197DE5" w:rsidRDefault="00116B59" w:rsidP="00116B59">
      <w:pPr>
        <w:spacing w:before="36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Questions regarding course contents and structure may be sent to lyn@purdue.edu.</w:t>
      </w:r>
    </w:p>
    <w:sectPr w:rsidR="00116B59" w:rsidRPr="0019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5"/>
    <w:rsid w:val="00077A05"/>
    <w:rsid w:val="000E327E"/>
    <w:rsid w:val="00116B59"/>
    <w:rsid w:val="00197DE5"/>
    <w:rsid w:val="002E00EF"/>
    <w:rsid w:val="00303C48"/>
    <w:rsid w:val="00335E7F"/>
    <w:rsid w:val="003D6394"/>
    <w:rsid w:val="00591CE8"/>
    <w:rsid w:val="005C2C99"/>
    <w:rsid w:val="006E6CBC"/>
    <w:rsid w:val="00817895"/>
    <w:rsid w:val="00843305"/>
    <w:rsid w:val="00AF5DC9"/>
    <w:rsid w:val="00BB08BC"/>
    <w:rsid w:val="00C151ED"/>
    <w:rsid w:val="00C573A8"/>
    <w:rsid w:val="00C60627"/>
    <w:rsid w:val="00D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95C0"/>
  <w15:chartTrackingRefBased/>
  <w15:docId w15:val="{FD84DFBB-ED0A-43A1-907F-774E4D0B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A Lyn</dc:creator>
  <cp:keywords/>
  <dc:description/>
  <cp:lastModifiedBy>Lyn, Dennis A</cp:lastModifiedBy>
  <cp:revision>4</cp:revision>
  <dcterms:created xsi:type="dcterms:W3CDTF">2024-08-07T05:22:00Z</dcterms:created>
  <dcterms:modified xsi:type="dcterms:W3CDTF">2024-08-09T14:17:00Z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2024-08-07T05:42:09Z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7c52d1d1-df2a-478f-84ca-ef7100eb71f5</vt:lpwstr>
  </property>
  <property fmtid="{D5CDD505-2E9C-101B-9397-08002B2CF9AE}" pid="8" name="MSIP_Label_4044bd30-2ed7-4c9d-9d12-46200872a97b_ContentBits">
    <vt:lpwstr>0</vt:lpwstr>
  </property>
</Properties>
</file>