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529" w:rsidRPr="00606C48" w:rsidRDefault="00026529">
      <w:pPr>
        <w:tabs>
          <w:tab w:val="left" w:pos="3870"/>
          <w:tab w:val="left" w:pos="6840"/>
          <w:tab w:val="left" w:pos="9619"/>
        </w:tabs>
        <w:ind w:left="270" w:right="-20"/>
        <w:rPr>
          <w:sz w:val="16"/>
          <w:szCs w:val="16"/>
        </w:rPr>
      </w:pPr>
    </w:p>
    <w:p w:rsidR="004C1D19" w:rsidRPr="00E137E9" w:rsidRDefault="005057C1" w:rsidP="00606C48">
      <w:pPr>
        <w:tabs>
          <w:tab w:val="left" w:pos="3870"/>
          <w:tab w:val="left" w:pos="6840"/>
          <w:tab w:val="left" w:pos="9619"/>
        </w:tabs>
        <w:ind w:right="-20"/>
        <w:rPr>
          <w:rFonts w:asciiTheme="minorHAnsi" w:hAnsiTheme="minorHAnsi"/>
          <w:sz w:val="22"/>
        </w:rPr>
      </w:pPr>
      <w:r w:rsidRPr="0042420C">
        <w:rPr>
          <w:rFonts w:ascii="Arial Black" w:hAnsi="Arial Black"/>
          <w:sz w:val="20"/>
        </w:rPr>
        <w:t>DATE:</w:t>
      </w:r>
      <w:r>
        <w:rPr>
          <w:sz w:val="22"/>
        </w:rPr>
        <w:t xml:space="preserve">  </w:t>
      </w:r>
      <w:r w:rsidR="005B619A" w:rsidRPr="00E137E9">
        <w:rPr>
          <w:rFonts w:asciiTheme="minorHAnsi" w:hAnsiTheme="minorHAnsi"/>
          <w:sz w:val="22"/>
        </w:rPr>
        <w:t>5 April 2012</w:t>
      </w:r>
    </w:p>
    <w:p w:rsidR="005057C1" w:rsidRDefault="005057C1" w:rsidP="00606C48">
      <w:pPr>
        <w:tabs>
          <w:tab w:val="left" w:pos="3870"/>
          <w:tab w:val="left" w:pos="6840"/>
          <w:tab w:val="left" w:pos="9619"/>
        </w:tabs>
        <w:ind w:right="-20"/>
        <w:rPr>
          <w:sz w:val="22"/>
        </w:rPr>
      </w:pPr>
      <w:r w:rsidRPr="0042420C">
        <w:rPr>
          <w:rFonts w:ascii="Arial Black" w:hAnsi="Arial Black"/>
          <w:sz w:val="20"/>
        </w:rPr>
        <w:t>FROM:</w:t>
      </w:r>
      <w:r>
        <w:rPr>
          <w:sz w:val="22"/>
        </w:rPr>
        <w:t xml:space="preserve">  </w:t>
      </w:r>
      <w:r w:rsidRPr="00E137E9">
        <w:rPr>
          <w:rFonts w:asciiTheme="minorHAnsi" w:hAnsiTheme="minorHAnsi"/>
          <w:sz w:val="22"/>
        </w:rPr>
        <w:t>John Weaver</w:t>
      </w:r>
    </w:p>
    <w:p w:rsidR="005057C1" w:rsidRPr="002767FF" w:rsidRDefault="005057C1" w:rsidP="00606C48">
      <w:pPr>
        <w:tabs>
          <w:tab w:val="left" w:pos="3870"/>
          <w:tab w:val="left" w:pos="6840"/>
          <w:tab w:val="left" w:pos="9619"/>
        </w:tabs>
        <w:ind w:right="-20"/>
        <w:rPr>
          <w:rFonts w:ascii="Times New Roman" w:hAnsi="Times New Roman"/>
          <w:sz w:val="22"/>
        </w:rPr>
      </w:pPr>
      <w:r w:rsidRPr="0042420C">
        <w:rPr>
          <w:rFonts w:ascii="Arial Black" w:hAnsi="Arial Black"/>
          <w:sz w:val="20"/>
        </w:rPr>
        <w:t>TO:</w:t>
      </w:r>
      <w:r>
        <w:rPr>
          <w:sz w:val="22"/>
        </w:rPr>
        <w:t xml:space="preserve">  </w:t>
      </w:r>
      <w:r w:rsidR="005B619A" w:rsidRPr="00E137E9">
        <w:rPr>
          <w:rFonts w:asciiTheme="minorHAnsi" w:hAnsiTheme="minorHAnsi"/>
          <w:sz w:val="22"/>
        </w:rPr>
        <w:t>Ali Shakouri</w:t>
      </w:r>
    </w:p>
    <w:p w:rsidR="005057C1" w:rsidRPr="002767FF" w:rsidRDefault="005057C1" w:rsidP="00606C48">
      <w:pPr>
        <w:tabs>
          <w:tab w:val="left" w:pos="3870"/>
          <w:tab w:val="left" w:pos="6840"/>
          <w:tab w:val="left" w:pos="9619"/>
        </w:tabs>
        <w:ind w:right="-20"/>
        <w:rPr>
          <w:rFonts w:ascii="Times New Roman" w:hAnsi="Times New Roman"/>
          <w:sz w:val="22"/>
        </w:rPr>
      </w:pPr>
      <w:r w:rsidRPr="0042420C">
        <w:rPr>
          <w:rFonts w:ascii="Arial Black" w:hAnsi="Arial Black"/>
          <w:sz w:val="20"/>
        </w:rPr>
        <w:t>SUBJECT:</w:t>
      </w:r>
      <w:r>
        <w:rPr>
          <w:sz w:val="22"/>
        </w:rPr>
        <w:t xml:space="preserve">  </w:t>
      </w:r>
      <w:r w:rsidR="005B619A" w:rsidRPr="00E137E9">
        <w:rPr>
          <w:rFonts w:asciiTheme="minorHAnsi" w:hAnsiTheme="minorHAnsi"/>
          <w:sz w:val="22"/>
        </w:rPr>
        <w:t>Lab Accident Webinar</w:t>
      </w:r>
    </w:p>
    <w:p w:rsidR="004C1D19" w:rsidRDefault="004C1D19">
      <w:pPr>
        <w:tabs>
          <w:tab w:val="left" w:pos="3600"/>
          <w:tab w:val="left" w:pos="6480"/>
          <w:tab w:val="left" w:pos="9619"/>
        </w:tabs>
        <w:ind w:left="270"/>
        <w:rPr>
          <w:sz w:val="22"/>
        </w:rPr>
      </w:pPr>
    </w:p>
    <w:p w:rsidR="007B1E74" w:rsidRPr="00E137E9" w:rsidRDefault="005B619A" w:rsidP="00D9485F">
      <w:pPr>
        <w:spacing w:after="120"/>
        <w:rPr>
          <w:rFonts w:asciiTheme="minorHAnsi" w:hAnsiTheme="minorHAnsi"/>
          <w:sz w:val="20"/>
        </w:rPr>
      </w:pPr>
      <w:r w:rsidRPr="00E137E9">
        <w:rPr>
          <w:rFonts w:asciiTheme="minorHAnsi" w:hAnsiTheme="minorHAnsi"/>
          <w:sz w:val="20"/>
        </w:rPr>
        <w:t xml:space="preserve">On Monday, April 2, 2012, REM sponsored Purdue University participation in a Webinar related to university laboratory accidents. The national Webinar, sponsored by </w:t>
      </w:r>
      <w:r w:rsidR="000B4C4D" w:rsidRPr="00E137E9">
        <w:rPr>
          <w:rFonts w:asciiTheme="minorHAnsi" w:hAnsiTheme="minorHAnsi"/>
          <w:sz w:val="20"/>
        </w:rPr>
        <w:t>CSHEMA</w:t>
      </w:r>
      <w:r w:rsidR="00806F95" w:rsidRPr="00E137E9">
        <w:rPr>
          <w:rStyle w:val="EndnoteReference"/>
          <w:rFonts w:asciiTheme="minorHAnsi" w:hAnsiTheme="minorHAnsi"/>
          <w:sz w:val="20"/>
        </w:rPr>
        <w:endnoteReference w:id="1"/>
      </w:r>
      <w:r w:rsidR="000B4C4D" w:rsidRPr="00E137E9">
        <w:rPr>
          <w:rFonts w:asciiTheme="minorHAnsi" w:hAnsiTheme="minorHAnsi"/>
          <w:sz w:val="20"/>
        </w:rPr>
        <w:t xml:space="preserve">, was entitled, “Lab Accidents in the News: Institutional and Individual Risks, Roles, and Responsibilities.” </w:t>
      </w:r>
    </w:p>
    <w:p w:rsidR="00B3744D" w:rsidRDefault="007B1E74" w:rsidP="00D9485F">
      <w:pPr>
        <w:spacing w:after="120"/>
        <w:rPr>
          <w:rFonts w:asciiTheme="minorHAnsi" w:hAnsiTheme="minorHAnsi"/>
          <w:sz w:val="20"/>
        </w:rPr>
      </w:pPr>
      <w:r w:rsidRPr="00E137E9">
        <w:rPr>
          <w:rFonts w:asciiTheme="minorHAnsi" w:hAnsiTheme="minorHAnsi"/>
          <w:sz w:val="20"/>
        </w:rPr>
        <w:t>The “bottom line” from the speakers was that life has changed for university researchers. In the aftermath of several serious university laboratory accidents, new regulations and new enforcement activities</w:t>
      </w:r>
      <w:r w:rsidR="00B3744D" w:rsidRPr="00E137E9">
        <w:rPr>
          <w:rFonts w:asciiTheme="minorHAnsi" w:hAnsiTheme="minorHAnsi"/>
          <w:sz w:val="20"/>
        </w:rPr>
        <w:t xml:space="preserve"> – including criminal prosecution of a PI – have resulted. </w:t>
      </w:r>
    </w:p>
    <w:p w:rsidR="00D91F7E" w:rsidRPr="00E137E9" w:rsidRDefault="00D91F7E" w:rsidP="00D9485F">
      <w:pPr>
        <w:spacing w:after="120"/>
        <w:rPr>
          <w:rFonts w:asciiTheme="minorHAnsi" w:hAnsiTheme="minorHAnsi"/>
          <w:sz w:val="20"/>
        </w:rPr>
      </w:pPr>
      <w:r>
        <w:rPr>
          <w:rFonts w:asciiTheme="minorHAnsi" w:hAnsiTheme="minorHAnsi"/>
          <w:sz w:val="20"/>
        </w:rPr>
        <w:t xml:space="preserve">Fortunately, the policies instituted in the BNC are designed to protect individuals from various hazards, and have the added benefit of protecting the PI from many of the situations that existed in the situations these universities faced. There are, however, certain things that PIs need to do </w:t>
      </w:r>
      <w:r w:rsidR="003343DD">
        <w:rPr>
          <w:rFonts w:asciiTheme="minorHAnsi" w:hAnsiTheme="minorHAnsi"/>
          <w:sz w:val="20"/>
        </w:rPr>
        <w:t>to ensure the safety of researchers working for them. I have added italicized notes that indicate where the BNC stands in relation to the items discussed in the webinar, and added bold italicized notes for action items for Principal Investigators.</w:t>
      </w:r>
    </w:p>
    <w:p w:rsidR="00EC3B35" w:rsidRPr="00E137E9" w:rsidRDefault="00B3744D" w:rsidP="00D9485F">
      <w:pPr>
        <w:spacing w:after="120"/>
        <w:rPr>
          <w:rFonts w:asciiTheme="minorHAnsi" w:hAnsiTheme="minorHAnsi"/>
          <w:sz w:val="20"/>
        </w:rPr>
      </w:pPr>
      <w:r w:rsidRPr="00E137E9">
        <w:rPr>
          <w:rFonts w:asciiTheme="minorHAnsi" w:hAnsiTheme="minorHAnsi"/>
          <w:sz w:val="20"/>
        </w:rPr>
        <w:t xml:space="preserve">There were two “first ever” events that took place in the last year. As a result of the Texas Tech explosion that resulted in severe injuries to a researcher, the US Chemical Safety Board investigated a university laboratory. While the US Chemical Safety Board had investigated many industrial facilities, this is the first time that they turned their attention on a university laboratory. Second, as a result of the fatality at UCLA, criminal charges were brought against the university and the PI. </w:t>
      </w:r>
      <w:r w:rsidR="00680C9A" w:rsidRPr="00E137E9">
        <w:rPr>
          <w:rFonts w:asciiTheme="minorHAnsi" w:hAnsiTheme="minorHAnsi"/>
          <w:sz w:val="20"/>
        </w:rPr>
        <w:t>While fines have been assessed in the past, this is the first time that criminal prosecution – potentially resulting in a prison sentence – has been pursued</w:t>
      </w:r>
      <w:r w:rsidR="00EC3B35" w:rsidRPr="00E137E9">
        <w:rPr>
          <w:rFonts w:asciiTheme="minorHAnsi" w:hAnsiTheme="minorHAnsi"/>
          <w:sz w:val="20"/>
        </w:rPr>
        <w:t xml:space="preserve"> against a Principal Investigator</w:t>
      </w:r>
      <w:r w:rsidR="00680C9A" w:rsidRPr="00E137E9">
        <w:rPr>
          <w:rFonts w:asciiTheme="minorHAnsi" w:hAnsiTheme="minorHAnsi"/>
          <w:sz w:val="20"/>
        </w:rPr>
        <w:t>.</w:t>
      </w:r>
    </w:p>
    <w:p w:rsidR="00EC3B35" w:rsidRPr="00D91F7E" w:rsidRDefault="00EC3B35" w:rsidP="00D9485F">
      <w:pPr>
        <w:spacing w:after="120"/>
        <w:rPr>
          <w:rFonts w:asciiTheme="minorHAnsi" w:hAnsiTheme="minorHAnsi"/>
          <w:sz w:val="20"/>
        </w:rPr>
      </w:pPr>
      <w:r w:rsidRPr="00D91F7E">
        <w:rPr>
          <w:rFonts w:asciiTheme="minorHAnsi" w:hAnsiTheme="minorHAnsi"/>
          <w:sz w:val="20"/>
        </w:rPr>
        <w:t>The first speaker was an attorney who analyzed the UCLA legal case. There were three counts</w:t>
      </w:r>
      <w:r w:rsidR="00C7361C" w:rsidRPr="00D91F7E">
        <w:rPr>
          <w:rStyle w:val="EndnoteReference"/>
          <w:rFonts w:asciiTheme="minorHAnsi" w:hAnsiTheme="minorHAnsi"/>
          <w:sz w:val="20"/>
        </w:rPr>
        <w:endnoteReference w:id="2"/>
      </w:r>
      <w:r w:rsidRPr="00D91F7E">
        <w:rPr>
          <w:rFonts w:asciiTheme="minorHAnsi" w:hAnsiTheme="minorHAnsi"/>
          <w:sz w:val="20"/>
        </w:rPr>
        <w:t>:</w:t>
      </w:r>
    </w:p>
    <w:p w:rsidR="007A4CEB" w:rsidRPr="00D91F7E" w:rsidRDefault="00EC3B35" w:rsidP="00EC3B35">
      <w:pPr>
        <w:pStyle w:val="ListParagraph"/>
        <w:numPr>
          <w:ilvl w:val="0"/>
          <w:numId w:val="2"/>
        </w:numPr>
        <w:spacing w:after="120"/>
        <w:rPr>
          <w:rFonts w:asciiTheme="minorHAnsi" w:hAnsiTheme="minorHAnsi"/>
          <w:sz w:val="20"/>
        </w:rPr>
      </w:pPr>
      <w:r w:rsidRPr="00D91F7E">
        <w:rPr>
          <w:rFonts w:asciiTheme="minorHAnsi" w:hAnsiTheme="minorHAnsi"/>
          <w:sz w:val="20"/>
        </w:rPr>
        <w:t>There was no specific laboratory training</w:t>
      </w:r>
      <w:r w:rsidR="00C51C70" w:rsidRPr="00D91F7E">
        <w:rPr>
          <w:rFonts w:asciiTheme="minorHAnsi" w:hAnsiTheme="minorHAnsi"/>
          <w:sz w:val="20"/>
        </w:rPr>
        <w:t xml:space="preserve"> provided to the researcher. </w:t>
      </w:r>
      <w:r w:rsidR="00C51C70" w:rsidRPr="00D91F7E">
        <w:rPr>
          <w:rFonts w:asciiTheme="majorHAnsi" w:hAnsiTheme="majorHAnsi"/>
          <w:i/>
          <w:sz w:val="20"/>
        </w:rPr>
        <w:t>If training records are not maintained, there is no proof or training and in the eyes of OSHA no training exists. Fortunately, the BNC provides laboratory training and documents that training.</w:t>
      </w:r>
      <w:r w:rsidR="00B3744D" w:rsidRPr="00D91F7E">
        <w:rPr>
          <w:rFonts w:asciiTheme="majorHAnsi" w:hAnsiTheme="majorHAnsi"/>
          <w:i/>
          <w:sz w:val="20"/>
        </w:rPr>
        <w:t xml:space="preserve"> </w:t>
      </w:r>
      <w:r w:rsidR="00C51C70" w:rsidRPr="00D91F7E">
        <w:rPr>
          <w:rFonts w:asciiTheme="majorHAnsi" w:hAnsiTheme="majorHAnsi"/>
          <w:b/>
          <w:i/>
          <w:sz w:val="20"/>
        </w:rPr>
        <w:t>If, however, specialized materials are used that have unique hazards, it is the responsibility of the PI to communicate this to both the researchers and the BNC Safety Manager, Stephen Jurss</w:t>
      </w:r>
      <w:r w:rsidR="00C7361C" w:rsidRPr="00D91F7E">
        <w:rPr>
          <w:rFonts w:asciiTheme="majorHAnsi" w:hAnsiTheme="majorHAnsi"/>
          <w:b/>
          <w:i/>
          <w:sz w:val="20"/>
        </w:rPr>
        <w:t>. In this case, a signed SOP or other documentation of mentored procedures should be kept on file by the PI</w:t>
      </w:r>
      <w:r w:rsidR="00C51C70" w:rsidRPr="00D91F7E">
        <w:rPr>
          <w:rFonts w:asciiTheme="majorHAnsi" w:hAnsiTheme="majorHAnsi"/>
          <w:b/>
          <w:i/>
          <w:sz w:val="20"/>
        </w:rPr>
        <w:t>.</w:t>
      </w:r>
      <w:r w:rsidR="000B4C4D" w:rsidRPr="00D91F7E">
        <w:rPr>
          <w:rFonts w:asciiTheme="majorHAnsi" w:hAnsiTheme="majorHAnsi"/>
          <w:sz w:val="20"/>
        </w:rPr>
        <w:t xml:space="preserve"> </w:t>
      </w:r>
    </w:p>
    <w:p w:rsidR="00C51C70" w:rsidRPr="00D91F7E" w:rsidRDefault="00C51C70" w:rsidP="00EC3B35">
      <w:pPr>
        <w:pStyle w:val="ListParagraph"/>
        <w:numPr>
          <w:ilvl w:val="0"/>
          <w:numId w:val="2"/>
        </w:numPr>
        <w:spacing w:after="120"/>
        <w:rPr>
          <w:rFonts w:asciiTheme="majorHAnsi" w:hAnsiTheme="majorHAnsi"/>
          <w:sz w:val="20"/>
        </w:rPr>
      </w:pPr>
      <w:r w:rsidRPr="00D91F7E">
        <w:rPr>
          <w:rFonts w:asciiTheme="minorHAnsi" w:hAnsiTheme="minorHAnsi"/>
          <w:sz w:val="20"/>
        </w:rPr>
        <w:t xml:space="preserve">UCLA did not correct noted deficiencies in the laboratory. A prior audit noted several deficiencies that were presented to the PI, and these deficiencies had not been corrected at the time of the accident – approximately two months later. </w:t>
      </w:r>
      <w:r w:rsidR="00FB73E4" w:rsidRPr="00D91F7E">
        <w:rPr>
          <w:rFonts w:asciiTheme="majorHAnsi" w:hAnsiTheme="majorHAnsi"/>
          <w:i/>
          <w:sz w:val="20"/>
        </w:rPr>
        <w:t xml:space="preserve">Fortunately, the BNC provides audit documentation and follows up on noted deficiencies. </w:t>
      </w:r>
      <w:r w:rsidR="00FB73E4" w:rsidRPr="00D91F7E">
        <w:rPr>
          <w:rFonts w:asciiTheme="majorHAnsi" w:hAnsiTheme="majorHAnsi"/>
          <w:b/>
          <w:i/>
          <w:sz w:val="20"/>
        </w:rPr>
        <w:t>However, it is important that the laboratory occupants “stay with” the corrective actions – not allowing the laboratory to revert to the deficient condition.</w:t>
      </w:r>
    </w:p>
    <w:p w:rsidR="00FB73E4" w:rsidRPr="00D91F7E" w:rsidRDefault="00FB73E4" w:rsidP="00EC3B35">
      <w:pPr>
        <w:pStyle w:val="ListParagraph"/>
        <w:numPr>
          <w:ilvl w:val="0"/>
          <w:numId w:val="2"/>
        </w:numPr>
        <w:spacing w:after="120"/>
        <w:rPr>
          <w:rFonts w:asciiTheme="majorHAnsi" w:hAnsiTheme="majorHAnsi"/>
          <w:sz w:val="20"/>
        </w:rPr>
      </w:pPr>
      <w:r w:rsidRPr="00D91F7E">
        <w:rPr>
          <w:rFonts w:asciiTheme="minorHAnsi" w:hAnsiTheme="minorHAnsi"/>
          <w:sz w:val="20"/>
        </w:rPr>
        <w:t xml:space="preserve">It was commonplace for researchers not to wear lab coats in the laboratory, even though they were required by laboratory policy. The PI had observed researchers working in the laboratory without lab coats and did not correct the situation or challenge the violators. </w:t>
      </w:r>
      <w:r w:rsidRPr="00D91F7E">
        <w:rPr>
          <w:rFonts w:asciiTheme="majorHAnsi" w:hAnsiTheme="majorHAnsi"/>
          <w:i/>
          <w:sz w:val="20"/>
        </w:rPr>
        <w:t>The PI is ultimately responsible for the behavior of the researchers working for him/her</w:t>
      </w:r>
      <w:r w:rsidR="0020135D" w:rsidRPr="00D91F7E">
        <w:rPr>
          <w:rFonts w:asciiTheme="majorHAnsi" w:hAnsiTheme="majorHAnsi"/>
          <w:i/>
          <w:sz w:val="20"/>
        </w:rPr>
        <w:t>, as the PI has hire-fire responsibility for those researchers. The first place that OSHA looks is at the person with hire-fire authority. This is also the person face the consequences of an event that results in a serious injury.</w:t>
      </w:r>
      <w:r w:rsidR="00E137E9" w:rsidRPr="00D91F7E">
        <w:rPr>
          <w:rFonts w:asciiTheme="majorHAnsi" w:hAnsiTheme="majorHAnsi"/>
          <w:i/>
          <w:sz w:val="20"/>
        </w:rPr>
        <w:t xml:space="preserve"> The BNC has documented requirements for each lab, and door postings to serve as a reminder for those working in the lab. </w:t>
      </w:r>
      <w:r w:rsidR="00E137E9" w:rsidRPr="00D91F7E">
        <w:rPr>
          <w:rFonts w:asciiTheme="majorHAnsi" w:hAnsiTheme="majorHAnsi"/>
          <w:b/>
          <w:i/>
          <w:sz w:val="20"/>
        </w:rPr>
        <w:t>It is the responsibility of the PI to ensure that his/her researchers follow these procedures. To observe someone working in a lab not following proper procedures and not correcting the behavior is considered as giving the person permission to violate the procedure.</w:t>
      </w:r>
    </w:p>
    <w:p w:rsidR="0020135D" w:rsidRPr="00D91F7E" w:rsidRDefault="0020135D" w:rsidP="0020135D">
      <w:pPr>
        <w:spacing w:after="120"/>
        <w:rPr>
          <w:rFonts w:asciiTheme="minorHAnsi" w:hAnsiTheme="minorHAnsi"/>
          <w:sz w:val="20"/>
        </w:rPr>
      </w:pPr>
      <w:r w:rsidRPr="00D91F7E">
        <w:rPr>
          <w:rFonts w:asciiTheme="minorHAnsi" w:hAnsiTheme="minorHAnsi"/>
          <w:sz w:val="20"/>
        </w:rPr>
        <w:t xml:space="preserve">An exacerbating factor was that when the laboratory was investigated, there were two previous minor injuries that had not been reported. </w:t>
      </w:r>
      <w:r w:rsidR="00B63C3D" w:rsidRPr="00F90925">
        <w:rPr>
          <w:rFonts w:asciiTheme="majorHAnsi" w:hAnsiTheme="majorHAnsi"/>
          <w:b/>
          <w:i/>
          <w:sz w:val="20"/>
        </w:rPr>
        <w:t xml:space="preserve">It is critical that all injuries, no matter how minor, be reported and a First Report of Injury form </w:t>
      </w:r>
      <w:r w:rsidR="00F90925" w:rsidRPr="00F90925">
        <w:rPr>
          <w:rFonts w:asciiTheme="majorHAnsi" w:hAnsiTheme="majorHAnsi"/>
          <w:b/>
          <w:i/>
          <w:sz w:val="20"/>
        </w:rPr>
        <w:t xml:space="preserve">be </w:t>
      </w:r>
      <w:r w:rsidR="00B63C3D" w:rsidRPr="00F90925">
        <w:rPr>
          <w:rFonts w:asciiTheme="majorHAnsi" w:hAnsiTheme="majorHAnsi"/>
          <w:b/>
          <w:i/>
          <w:sz w:val="20"/>
        </w:rPr>
        <w:t>submitted.</w:t>
      </w:r>
      <w:r w:rsidR="00F90925" w:rsidRPr="00F90925">
        <w:rPr>
          <w:rFonts w:asciiTheme="majorHAnsi" w:hAnsiTheme="majorHAnsi"/>
          <w:b/>
          <w:i/>
          <w:sz w:val="20"/>
        </w:rPr>
        <w:t xml:space="preserve"> During daytime hours, Stephen Jurss can assist in this and during evening hours the Lab Attendants can help.</w:t>
      </w:r>
    </w:p>
    <w:p w:rsidR="0020135D" w:rsidRPr="00D91F7E" w:rsidRDefault="0020135D" w:rsidP="0020135D">
      <w:pPr>
        <w:spacing w:after="120"/>
        <w:rPr>
          <w:rFonts w:asciiTheme="minorHAnsi" w:hAnsiTheme="minorHAnsi"/>
          <w:sz w:val="20"/>
        </w:rPr>
      </w:pPr>
      <w:r w:rsidRPr="00D91F7E">
        <w:rPr>
          <w:rFonts w:asciiTheme="minorHAnsi" w:hAnsiTheme="minorHAnsi"/>
          <w:sz w:val="20"/>
        </w:rPr>
        <w:lastRenderedPageBreak/>
        <w:t xml:space="preserve">As a result of the charges, the PI </w:t>
      </w:r>
      <w:r w:rsidR="00B63C3D">
        <w:rPr>
          <w:rFonts w:asciiTheme="minorHAnsi" w:hAnsiTheme="minorHAnsi"/>
          <w:sz w:val="20"/>
        </w:rPr>
        <w:t>faces up to</w:t>
      </w:r>
      <w:r w:rsidRPr="00D91F7E">
        <w:rPr>
          <w:rFonts w:asciiTheme="minorHAnsi" w:hAnsiTheme="minorHAnsi"/>
          <w:sz w:val="20"/>
        </w:rPr>
        <w:t xml:space="preserve"> 4½ years</w:t>
      </w:r>
      <w:r w:rsidR="00B63C3D">
        <w:rPr>
          <w:rFonts w:asciiTheme="minorHAnsi" w:hAnsiTheme="minorHAnsi"/>
          <w:sz w:val="20"/>
        </w:rPr>
        <w:t xml:space="preserve"> in state prison according to the district attorney’s spokeswoman</w:t>
      </w:r>
      <w:r w:rsidRPr="00D91F7E">
        <w:rPr>
          <w:rFonts w:asciiTheme="minorHAnsi" w:hAnsiTheme="minorHAnsi"/>
          <w:sz w:val="20"/>
        </w:rPr>
        <w:t xml:space="preserve">. </w:t>
      </w:r>
      <w:r w:rsidR="003343DD">
        <w:rPr>
          <w:rFonts w:asciiTheme="minorHAnsi" w:hAnsiTheme="minorHAnsi"/>
          <w:sz w:val="20"/>
        </w:rPr>
        <w:t xml:space="preserve">The university could be fined up to $1.5 million on each of the three counts. </w:t>
      </w:r>
      <w:r w:rsidR="00B63C3D">
        <w:rPr>
          <w:rFonts w:asciiTheme="minorHAnsi" w:hAnsiTheme="minorHAnsi"/>
          <w:sz w:val="20"/>
        </w:rPr>
        <w:t xml:space="preserve">An arrest warrant has been issued for the PI, and bail was set at $20,000. </w:t>
      </w:r>
      <w:r w:rsidRPr="00D91F7E">
        <w:rPr>
          <w:rFonts w:asciiTheme="minorHAnsi" w:hAnsiTheme="minorHAnsi"/>
          <w:sz w:val="20"/>
        </w:rPr>
        <w:t>The case is pending in a California court.</w:t>
      </w:r>
    </w:p>
    <w:p w:rsidR="005B2658" w:rsidRPr="00D91F7E" w:rsidRDefault="005B2658" w:rsidP="0020135D">
      <w:pPr>
        <w:spacing w:after="120"/>
        <w:rPr>
          <w:rFonts w:asciiTheme="minorHAnsi" w:hAnsiTheme="minorHAnsi"/>
          <w:sz w:val="20"/>
        </w:rPr>
      </w:pPr>
      <w:r w:rsidRPr="00D91F7E">
        <w:rPr>
          <w:rFonts w:asciiTheme="minorHAnsi" w:hAnsiTheme="minorHAnsi"/>
          <w:sz w:val="20"/>
        </w:rPr>
        <w:t>In addition to the specific situations at Texas Tech and UCLA, a general concern regarding laboratory safety in universities has developed. Press coverage</w:t>
      </w:r>
      <w:r w:rsidR="009567B4" w:rsidRPr="00D91F7E">
        <w:rPr>
          <w:rStyle w:val="EndnoteReference"/>
          <w:rFonts w:asciiTheme="minorHAnsi" w:hAnsiTheme="minorHAnsi"/>
          <w:sz w:val="20"/>
        </w:rPr>
        <w:endnoteReference w:id="3"/>
      </w:r>
      <w:r w:rsidRPr="00D91F7E">
        <w:rPr>
          <w:rFonts w:asciiTheme="minorHAnsi" w:hAnsiTheme="minorHAnsi"/>
          <w:sz w:val="20"/>
        </w:rPr>
        <w:t xml:space="preserve"> of incidents at University of Missouri and Yale University, in addition to the major press coverage for Texas Tech and </w:t>
      </w:r>
      <w:proofErr w:type="gramStart"/>
      <w:r w:rsidRPr="00D91F7E">
        <w:rPr>
          <w:rFonts w:asciiTheme="minorHAnsi" w:hAnsiTheme="minorHAnsi"/>
          <w:sz w:val="20"/>
        </w:rPr>
        <w:t>UCLA,</w:t>
      </w:r>
      <w:proofErr w:type="gramEnd"/>
      <w:r w:rsidRPr="00D91F7E">
        <w:rPr>
          <w:rFonts w:asciiTheme="minorHAnsi" w:hAnsiTheme="minorHAnsi"/>
          <w:sz w:val="20"/>
        </w:rPr>
        <w:t xml:space="preserve"> have heightened awareness of university laboratory safety</w:t>
      </w:r>
      <w:r w:rsidR="00D90AE9" w:rsidRPr="00D91F7E">
        <w:rPr>
          <w:rFonts w:asciiTheme="minorHAnsi" w:hAnsiTheme="minorHAnsi"/>
          <w:sz w:val="20"/>
        </w:rPr>
        <w:t>. Some consultants quoted incident rates that are “10 to 50 times higher” than industry. A poor safety culture and lack of risk assessment were cited as the main issues.</w:t>
      </w:r>
    </w:p>
    <w:p w:rsidR="0020135D" w:rsidRPr="00D91F7E" w:rsidRDefault="0020135D" w:rsidP="0020135D">
      <w:pPr>
        <w:spacing w:after="120"/>
        <w:rPr>
          <w:rFonts w:asciiTheme="minorHAnsi" w:hAnsiTheme="minorHAnsi"/>
          <w:sz w:val="20"/>
        </w:rPr>
      </w:pPr>
      <w:r w:rsidRPr="00D91F7E">
        <w:rPr>
          <w:rFonts w:asciiTheme="minorHAnsi" w:hAnsiTheme="minorHAnsi"/>
          <w:sz w:val="20"/>
        </w:rPr>
        <w:t xml:space="preserve">A final comment by the presenter was that </w:t>
      </w:r>
      <w:r w:rsidR="00223FCF" w:rsidRPr="00D91F7E">
        <w:rPr>
          <w:rFonts w:asciiTheme="minorHAnsi" w:hAnsiTheme="minorHAnsi"/>
          <w:sz w:val="20"/>
        </w:rPr>
        <w:t xml:space="preserve">a safety program CANNOT be advisory – it must be compulsory. Additionally, it is critical that a disciplinary program exists and that there </w:t>
      </w:r>
      <w:proofErr w:type="gramStart"/>
      <w:r w:rsidR="00223FCF" w:rsidRPr="00D91F7E">
        <w:rPr>
          <w:rFonts w:asciiTheme="minorHAnsi" w:hAnsiTheme="minorHAnsi"/>
          <w:sz w:val="20"/>
        </w:rPr>
        <w:t>be</w:t>
      </w:r>
      <w:proofErr w:type="gramEnd"/>
      <w:r w:rsidR="00223FCF" w:rsidRPr="00D91F7E">
        <w:rPr>
          <w:rFonts w:asciiTheme="minorHAnsi" w:hAnsiTheme="minorHAnsi"/>
          <w:sz w:val="20"/>
        </w:rPr>
        <w:t xml:space="preserve"> documented consequences for violation of safety policies. This was particularly pertinent in the UCLA case, as evidenced by Count 3 in the criminal charges.</w:t>
      </w:r>
    </w:p>
    <w:p w:rsidR="009F239F" w:rsidRPr="00D91F7E" w:rsidRDefault="00223FCF" w:rsidP="0020135D">
      <w:pPr>
        <w:spacing w:after="120"/>
        <w:rPr>
          <w:rFonts w:asciiTheme="minorHAnsi" w:hAnsiTheme="minorHAnsi"/>
          <w:sz w:val="20"/>
        </w:rPr>
      </w:pPr>
      <w:r w:rsidRPr="00D91F7E">
        <w:rPr>
          <w:rFonts w:asciiTheme="minorHAnsi" w:hAnsiTheme="minorHAnsi"/>
          <w:sz w:val="20"/>
        </w:rPr>
        <w:t xml:space="preserve">The second speaker was from Texas Tech, where the serious accident occurred. </w:t>
      </w:r>
      <w:r w:rsidR="009F239F" w:rsidRPr="00D91F7E">
        <w:rPr>
          <w:rFonts w:asciiTheme="minorHAnsi" w:hAnsiTheme="minorHAnsi"/>
          <w:sz w:val="20"/>
        </w:rPr>
        <w:t xml:space="preserve">The university has made a serious attempt at changing to a safety-oriented culture in their research activities. There were several </w:t>
      </w:r>
      <w:r w:rsidR="0025375D" w:rsidRPr="00D91F7E">
        <w:rPr>
          <w:rFonts w:asciiTheme="minorHAnsi" w:hAnsiTheme="minorHAnsi"/>
          <w:sz w:val="20"/>
        </w:rPr>
        <w:t>programs that they have put in place</w:t>
      </w:r>
      <w:r w:rsidR="009F239F" w:rsidRPr="00D91F7E">
        <w:rPr>
          <w:rFonts w:asciiTheme="minorHAnsi" w:hAnsiTheme="minorHAnsi"/>
          <w:sz w:val="20"/>
        </w:rPr>
        <w:t>:</w:t>
      </w:r>
    </w:p>
    <w:p w:rsidR="00223FCF" w:rsidRPr="00D91F7E" w:rsidRDefault="00D84B49" w:rsidP="00D84B49">
      <w:pPr>
        <w:pStyle w:val="ListParagraph"/>
        <w:numPr>
          <w:ilvl w:val="0"/>
          <w:numId w:val="3"/>
        </w:numPr>
        <w:spacing w:after="120"/>
        <w:rPr>
          <w:rFonts w:asciiTheme="minorHAnsi" w:hAnsiTheme="minorHAnsi"/>
          <w:sz w:val="20"/>
        </w:rPr>
      </w:pPr>
      <w:r w:rsidRPr="00D91F7E">
        <w:rPr>
          <w:rFonts w:asciiTheme="minorHAnsi" w:hAnsiTheme="minorHAnsi"/>
          <w:sz w:val="20"/>
        </w:rPr>
        <w:t>Safety is included in tenure documentation for faculty</w:t>
      </w:r>
      <w:r w:rsidR="009F239F" w:rsidRPr="00D91F7E">
        <w:rPr>
          <w:rFonts w:asciiTheme="minorHAnsi" w:hAnsiTheme="minorHAnsi"/>
          <w:sz w:val="20"/>
        </w:rPr>
        <w:t xml:space="preserve"> </w:t>
      </w:r>
    </w:p>
    <w:p w:rsidR="00D84B49" w:rsidRPr="00D91F7E" w:rsidRDefault="00D84B49" w:rsidP="00D84B49">
      <w:pPr>
        <w:pStyle w:val="ListParagraph"/>
        <w:numPr>
          <w:ilvl w:val="0"/>
          <w:numId w:val="3"/>
        </w:numPr>
        <w:spacing w:after="120"/>
        <w:rPr>
          <w:rFonts w:asciiTheme="minorHAnsi" w:hAnsiTheme="minorHAnsi"/>
          <w:sz w:val="20"/>
        </w:rPr>
      </w:pPr>
      <w:r w:rsidRPr="00D91F7E">
        <w:rPr>
          <w:rFonts w:asciiTheme="minorHAnsi" w:hAnsiTheme="minorHAnsi"/>
          <w:sz w:val="20"/>
        </w:rPr>
        <w:t>A safety section is included in dissertations</w:t>
      </w:r>
    </w:p>
    <w:p w:rsidR="00D84B49" w:rsidRPr="00D91F7E" w:rsidRDefault="00D84B49" w:rsidP="00D84B49">
      <w:pPr>
        <w:pStyle w:val="ListParagraph"/>
        <w:numPr>
          <w:ilvl w:val="0"/>
          <w:numId w:val="3"/>
        </w:numPr>
        <w:spacing w:after="120"/>
        <w:rPr>
          <w:rFonts w:asciiTheme="minorHAnsi" w:hAnsiTheme="minorHAnsi"/>
          <w:sz w:val="20"/>
        </w:rPr>
      </w:pPr>
      <w:r w:rsidRPr="00D91F7E">
        <w:rPr>
          <w:rFonts w:asciiTheme="minorHAnsi" w:hAnsiTheme="minorHAnsi"/>
          <w:sz w:val="20"/>
        </w:rPr>
        <w:t>They have formed a “peer” safety committee that reviews laboratories and laboratory conditions. The members of this committee are PIs, students, and staff.</w:t>
      </w:r>
    </w:p>
    <w:p w:rsidR="00D84B49" w:rsidRPr="00D91F7E" w:rsidRDefault="00D84B49" w:rsidP="00D84B49">
      <w:pPr>
        <w:pStyle w:val="ListParagraph"/>
        <w:numPr>
          <w:ilvl w:val="0"/>
          <w:numId w:val="3"/>
        </w:numPr>
        <w:spacing w:after="120"/>
        <w:rPr>
          <w:rFonts w:asciiTheme="minorHAnsi" w:hAnsiTheme="minorHAnsi"/>
          <w:sz w:val="20"/>
        </w:rPr>
      </w:pPr>
      <w:r w:rsidRPr="00D91F7E">
        <w:rPr>
          <w:rFonts w:asciiTheme="minorHAnsi" w:hAnsiTheme="minorHAnsi"/>
          <w:sz w:val="20"/>
        </w:rPr>
        <w:t>Each research group has a “Safety Captain” who watches over safety for the group</w:t>
      </w:r>
    </w:p>
    <w:p w:rsidR="00D84B49" w:rsidRPr="00D91F7E" w:rsidRDefault="00D84B49" w:rsidP="00D84B49">
      <w:pPr>
        <w:pStyle w:val="ListParagraph"/>
        <w:numPr>
          <w:ilvl w:val="0"/>
          <w:numId w:val="3"/>
        </w:numPr>
        <w:spacing w:after="120"/>
        <w:rPr>
          <w:rFonts w:asciiTheme="minorHAnsi" w:hAnsiTheme="minorHAnsi"/>
          <w:sz w:val="20"/>
        </w:rPr>
      </w:pPr>
      <w:r w:rsidRPr="00D91F7E">
        <w:rPr>
          <w:rFonts w:asciiTheme="minorHAnsi" w:hAnsiTheme="minorHAnsi"/>
          <w:sz w:val="20"/>
        </w:rPr>
        <w:t>TAs receive additional safety training and participate in role-playing activities related to safety issues</w:t>
      </w:r>
    </w:p>
    <w:p w:rsidR="00D84B49" w:rsidRPr="00D91F7E" w:rsidRDefault="00D84B49" w:rsidP="00D84B49">
      <w:pPr>
        <w:pStyle w:val="ListParagraph"/>
        <w:numPr>
          <w:ilvl w:val="0"/>
          <w:numId w:val="3"/>
        </w:numPr>
        <w:spacing w:after="120"/>
        <w:rPr>
          <w:rFonts w:asciiTheme="minorHAnsi" w:hAnsiTheme="minorHAnsi"/>
          <w:sz w:val="20"/>
        </w:rPr>
      </w:pPr>
      <w:r w:rsidRPr="00D91F7E">
        <w:rPr>
          <w:rFonts w:asciiTheme="minorHAnsi" w:hAnsiTheme="minorHAnsi"/>
          <w:sz w:val="20"/>
        </w:rPr>
        <w:t xml:space="preserve">They provide “carrots” for superior safety activities. These carrots consist of cash </w:t>
      </w:r>
      <w:r w:rsidR="00715446" w:rsidRPr="00D91F7E">
        <w:rPr>
          <w:rFonts w:asciiTheme="minorHAnsi" w:hAnsiTheme="minorHAnsi"/>
          <w:sz w:val="20"/>
        </w:rPr>
        <w:t>prizes</w:t>
      </w:r>
      <w:r w:rsidRPr="00D91F7E">
        <w:rPr>
          <w:rFonts w:asciiTheme="minorHAnsi" w:hAnsiTheme="minorHAnsi"/>
          <w:sz w:val="20"/>
        </w:rPr>
        <w:t xml:space="preserve"> in unrestricted funds</w:t>
      </w:r>
      <w:r w:rsidR="00715446" w:rsidRPr="00D91F7E">
        <w:rPr>
          <w:rFonts w:asciiTheme="minorHAnsi" w:hAnsiTheme="minorHAnsi"/>
          <w:sz w:val="20"/>
        </w:rPr>
        <w:t xml:space="preserve"> and recognition awards at the annual faculty convocation where all faculty awards are presented.</w:t>
      </w:r>
    </w:p>
    <w:p w:rsidR="00715446" w:rsidRPr="00D91F7E" w:rsidRDefault="00715446" w:rsidP="00D84B49">
      <w:pPr>
        <w:pStyle w:val="ListParagraph"/>
        <w:numPr>
          <w:ilvl w:val="0"/>
          <w:numId w:val="3"/>
        </w:numPr>
        <w:spacing w:after="120"/>
        <w:rPr>
          <w:rFonts w:asciiTheme="minorHAnsi" w:hAnsiTheme="minorHAnsi"/>
          <w:sz w:val="20"/>
        </w:rPr>
      </w:pPr>
      <w:r w:rsidRPr="00D91F7E">
        <w:rPr>
          <w:rFonts w:asciiTheme="minorHAnsi" w:hAnsiTheme="minorHAnsi"/>
          <w:sz w:val="20"/>
        </w:rPr>
        <w:t xml:space="preserve">When a researcher is going to use significantly hazardous materials, a risk assessment is performed prior to the experiment and </w:t>
      </w:r>
      <w:proofErr w:type="gramStart"/>
      <w:r w:rsidRPr="00D91F7E">
        <w:rPr>
          <w:rFonts w:asciiTheme="minorHAnsi" w:hAnsiTheme="minorHAnsi"/>
          <w:sz w:val="20"/>
        </w:rPr>
        <w:t>a debrief</w:t>
      </w:r>
      <w:proofErr w:type="gramEnd"/>
      <w:r w:rsidRPr="00D91F7E">
        <w:rPr>
          <w:rFonts w:asciiTheme="minorHAnsi" w:hAnsiTheme="minorHAnsi"/>
          <w:sz w:val="20"/>
        </w:rPr>
        <w:t xml:space="preserve"> with the same individuals is performed after the completion of the experiment.</w:t>
      </w:r>
    </w:p>
    <w:p w:rsidR="00715446" w:rsidRPr="00D91F7E" w:rsidRDefault="00715446" w:rsidP="00D84B49">
      <w:pPr>
        <w:pStyle w:val="ListParagraph"/>
        <w:numPr>
          <w:ilvl w:val="0"/>
          <w:numId w:val="3"/>
        </w:numPr>
        <w:spacing w:after="120"/>
        <w:rPr>
          <w:rFonts w:asciiTheme="minorHAnsi" w:hAnsiTheme="minorHAnsi"/>
          <w:sz w:val="20"/>
        </w:rPr>
      </w:pPr>
      <w:r w:rsidRPr="00D91F7E">
        <w:rPr>
          <w:rFonts w:asciiTheme="minorHAnsi" w:hAnsiTheme="minorHAnsi"/>
          <w:sz w:val="20"/>
        </w:rPr>
        <w:t>They perform incident reports after any accident or near-miss. They also maintain a near-miss database that is shared across the university.</w:t>
      </w:r>
    </w:p>
    <w:p w:rsidR="009B7160" w:rsidRPr="00D91F7E" w:rsidRDefault="0025375D" w:rsidP="0025375D">
      <w:pPr>
        <w:spacing w:after="120"/>
        <w:rPr>
          <w:rFonts w:asciiTheme="minorHAnsi" w:hAnsiTheme="minorHAnsi"/>
          <w:sz w:val="20"/>
        </w:rPr>
      </w:pPr>
      <w:r w:rsidRPr="00D91F7E">
        <w:rPr>
          <w:rFonts w:asciiTheme="minorHAnsi" w:hAnsiTheme="minorHAnsi"/>
          <w:sz w:val="20"/>
        </w:rPr>
        <w:t>It was recognized that there is a tension between Research/Discovery and safety. Working a balance between these two areas is critical. It was noted that Texas Tech identified three kinds of PIs, those who were: 1) Passionate about safety; 2) Want to operate safely but need assistance; and 3) Consider safety to be a hindrance to their research. They recognized that many PIs need help in safety practices – many have not had any training in that area.</w:t>
      </w:r>
    </w:p>
    <w:p w:rsidR="00EF1194" w:rsidRPr="00D91F7E" w:rsidRDefault="00EF1194" w:rsidP="0025375D">
      <w:pPr>
        <w:spacing w:after="120"/>
        <w:rPr>
          <w:rFonts w:asciiTheme="minorHAnsi" w:hAnsiTheme="minorHAnsi"/>
          <w:sz w:val="20"/>
        </w:rPr>
      </w:pPr>
      <w:r w:rsidRPr="00D91F7E">
        <w:rPr>
          <w:rFonts w:asciiTheme="minorHAnsi" w:hAnsiTheme="minorHAnsi"/>
          <w:sz w:val="20"/>
        </w:rPr>
        <w:t xml:space="preserve">Texas Tech also subscribes to what they term the “Scholarship of Discovery.” They put safety as part of the education of a researcher. To be a successful researcher in industry, one must subscribe to the companies’ safety culture. That researcher’s </w:t>
      </w:r>
      <w:r w:rsidR="001410E9" w:rsidRPr="00D91F7E">
        <w:rPr>
          <w:rFonts w:asciiTheme="minorHAnsi" w:hAnsiTheme="minorHAnsi"/>
          <w:sz w:val="20"/>
        </w:rPr>
        <w:t>education in</w:t>
      </w:r>
      <w:r w:rsidRPr="00D91F7E">
        <w:rPr>
          <w:rFonts w:asciiTheme="minorHAnsi" w:hAnsiTheme="minorHAnsi"/>
          <w:sz w:val="20"/>
        </w:rPr>
        <w:t xml:space="preserve"> safety should begin at the university.</w:t>
      </w:r>
      <w:r w:rsidR="00DA4CF5" w:rsidRPr="00D91F7E">
        <w:rPr>
          <w:rFonts w:asciiTheme="minorHAnsi" w:hAnsiTheme="minorHAnsi"/>
          <w:sz w:val="20"/>
        </w:rPr>
        <w:t xml:space="preserve"> Texas Tech strives to “Teach them (research students) the seriousness of the profession, and equip them with the tools to be safe and successful.”</w:t>
      </w:r>
    </w:p>
    <w:p w:rsidR="00715446" w:rsidRPr="00D91F7E" w:rsidRDefault="009B7160" w:rsidP="0025375D">
      <w:pPr>
        <w:spacing w:after="120"/>
        <w:rPr>
          <w:rFonts w:asciiTheme="minorHAnsi" w:hAnsiTheme="minorHAnsi"/>
          <w:sz w:val="20"/>
        </w:rPr>
      </w:pPr>
      <w:r w:rsidRPr="00D91F7E">
        <w:rPr>
          <w:rFonts w:asciiTheme="minorHAnsi" w:hAnsiTheme="minorHAnsi"/>
          <w:sz w:val="20"/>
        </w:rPr>
        <w:t xml:space="preserve">It was stated that students </w:t>
      </w:r>
      <w:r w:rsidRPr="00D91F7E">
        <w:rPr>
          <w:rFonts w:asciiTheme="minorHAnsi" w:hAnsiTheme="minorHAnsi"/>
          <w:b/>
          <w:sz w:val="20"/>
        </w:rPr>
        <w:t>expect</w:t>
      </w:r>
      <w:r w:rsidRPr="00D91F7E">
        <w:rPr>
          <w:rFonts w:asciiTheme="minorHAnsi" w:hAnsiTheme="minorHAnsi"/>
          <w:sz w:val="20"/>
        </w:rPr>
        <w:t xml:space="preserve"> to be protected.</w:t>
      </w:r>
      <w:r w:rsidR="0025375D" w:rsidRPr="00D91F7E">
        <w:rPr>
          <w:rFonts w:asciiTheme="minorHAnsi" w:hAnsiTheme="minorHAnsi"/>
          <w:sz w:val="20"/>
        </w:rPr>
        <w:t xml:space="preserve"> </w:t>
      </w:r>
      <w:r w:rsidR="003C6C0B" w:rsidRPr="00D91F7E">
        <w:rPr>
          <w:rFonts w:asciiTheme="minorHAnsi" w:hAnsiTheme="minorHAnsi"/>
          <w:sz w:val="20"/>
        </w:rPr>
        <w:t>This expectation involves the elimination of hazards from their workplace and proper training on the use of hazardous materials and equipment.</w:t>
      </w:r>
    </w:p>
    <w:p w:rsidR="003C6C0B" w:rsidRPr="00D91F7E" w:rsidRDefault="003C6C0B" w:rsidP="0025375D">
      <w:pPr>
        <w:spacing w:after="120"/>
        <w:rPr>
          <w:rFonts w:asciiTheme="minorHAnsi" w:hAnsiTheme="minorHAnsi"/>
          <w:sz w:val="20"/>
        </w:rPr>
      </w:pPr>
      <w:r w:rsidRPr="00D91F7E">
        <w:rPr>
          <w:rFonts w:asciiTheme="minorHAnsi" w:hAnsiTheme="minorHAnsi"/>
          <w:sz w:val="20"/>
        </w:rPr>
        <w:t>The university expects the PI to model a safety culture. This involves modeling behavior and challenging students who are not behaving properly. The university has shut down research labs twice in the recent past, requiring significant corrective actions before allowing the PI and researchers back into their lab.</w:t>
      </w:r>
    </w:p>
    <w:p w:rsidR="003C6C0B" w:rsidRPr="00D91F7E" w:rsidRDefault="003C6C0B" w:rsidP="0025375D">
      <w:pPr>
        <w:spacing w:after="120"/>
        <w:rPr>
          <w:rFonts w:asciiTheme="minorHAnsi" w:hAnsiTheme="minorHAnsi"/>
          <w:sz w:val="20"/>
        </w:rPr>
      </w:pPr>
      <w:r w:rsidRPr="00D91F7E">
        <w:rPr>
          <w:rFonts w:asciiTheme="minorHAnsi" w:hAnsiTheme="minorHAnsi"/>
          <w:sz w:val="20"/>
        </w:rPr>
        <w:t xml:space="preserve">The Texas Tech presentation ended with two items. First, they have a group that is pushing for safety in a line item in proposals. </w:t>
      </w:r>
      <w:r w:rsidRPr="001410E9">
        <w:rPr>
          <w:rFonts w:asciiTheme="majorHAnsi" w:hAnsiTheme="majorHAnsi"/>
          <w:i/>
          <w:sz w:val="20"/>
        </w:rPr>
        <w:t xml:space="preserve">This is gaining traction, and a recent proposal from Purdue on a DOE grant had a very significant section of the proposal </w:t>
      </w:r>
      <w:r w:rsidR="00397031" w:rsidRPr="001410E9">
        <w:rPr>
          <w:rFonts w:asciiTheme="majorHAnsi" w:hAnsiTheme="majorHAnsi"/>
          <w:i/>
          <w:sz w:val="20"/>
        </w:rPr>
        <w:t>documenting safety activities.</w:t>
      </w:r>
      <w:r w:rsidR="00397031" w:rsidRPr="00D91F7E">
        <w:rPr>
          <w:rFonts w:asciiTheme="minorHAnsi" w:hAnsiTheme="minorHAnsi"/>
          <w:sz w:val="20"/>
        </w:rPr>
        <w:t xml:space="preserve"> Second</w:t>
      </w:r>
      <w:r w:rsidR="00C845FD" w:rsidRPr="00D91F7E">
        <w:rPr>
          <w:rFonts w:asciiTheme="minorHAnsi" w:hAnsiTheme="minorHAnsi"/>
          <w:sz w:val="20"/>
        </w:rPr>
        <w:t>, they</w:t>
      </w:r>
      <w:r w:rsidR="00397031" w:rsidRPr="00D91F7E">
        <w:rPr>
          <w:rFonts w:asciiTheme="minorHAnsi" w:hAnsiTheme="minorHAnsi"/>
          <w:sz w:val="20"/>
        </w:rPr>
        <w:t xml:space="preserve"> would like to see safety move from a punitive approach to a positive approach.</w:t>
      </w:r>
    </w:p>
    <w:p w:rsidR="00397031" w:rsidRPr="00C845FD" w:rsidRDefault="00397031" w:rsidP="0025375D">
      <w:pPr>
        <w:spacing w:after="120"/>
        <w:rPr>
          <w:rFonts w:asciiTheme="majorHAnsi" w:hAnsiTheme="majorHAnsi"/>
          <w:b/>
          <w:sz w:val="20"/>
        </w:rPr>
      </w:pPr>
      <w:r w:rsidRPr="00D91F7E">
        <w:rPr>
          <w:rFonts w:asciiTheme="minorHAnsi" w:hAnsiTheme="minorHAnsi"/>
          <w:sz w:val="20"/>
        </w:rPr>
        <w:lastRenderedPageBreak/>
        <w:t xml:space="preserve">During the question-and-answer session, it was noted that Texas Tech requires PIs to maintain the chemical inventories for their laboratories. With that, the PI is responsible for any incomplete inventories, including the resultant fines and sanctions. </w:t>
      </w:r>
      <w:r w:rsidRPr="00C845FD">
        <w:rPr>
          <w:rFonts w:asciiTheme="majorHAnsi" w:hAnsiTheme="majorHAnsi"/>
          <w:i/>
          <w:sz w:val="20"/>
        </w:rPr>
        <w:t>The BNC maintains all laboratory chemical inventories for the PIs.</w:t>
      </w:r>
      <w:r w:rsidR="00C845FD">
        <w:rPr>
          <w:rFonts w:asciiTheme="minorHAnsi" w:hAnsiTheme="minorHAnsi"/>
          <w:i/>
          <w:sz w:val="20"/>
        </w:rPr>
        <w:t xml:space="preserve"> </w:t>
      </w:r>
      <w:r w:rsidR="001410E9" w:rsidRPr="001410E9">
        <w:rPr>
          <w:rFonts w:asciiTheme="majorHAnsi" w:hAnsiTheme="majorHAnsi"/>
          <w:i/>
          <w:sz w:val="20"/>
        </w:rPr>
        <w:t xml:space="preserve">This inventory is updated whenever a new chemical is ordered for use in a laboratory. This is one reason why it is important that all chemicals be ordered through the documented procedures of the BNC. </w:t>
      </w:r>
      <w:r w:rsidR="00C845FD" w:rsidRPr="00C845FD">
        <w:rPr>
          <w:rFonts w:asciiTheme="majorHAnsi" w:hAnsiTheme="majorHAnsi"/>
          <w:b/>
          <w:i/>
          <w:sz w:val="20"/>
        </w:rPr>
        <w:t xml:space="preserve">It is </w:t>
      </w:r>
      <w:r w:rsidR="001410E9">
        <w:rPr>
          <w:rFonts w:asciiTheme="majorHAnsi" w:hAnsiTheme="majorHAnsi"/>
          <w:b/>
          <w:i/>
          <w:sz w:val="20"/>
        </w:rPr>
        <w:t xml:space="preserve">also </w:t>
      </w:r>
      <w:r w:rsidR="00C845FD" w:rsidRPr="00C845FD">
        <w:rPr>
          <w:rFonts w:asciiTheme="majorHAnsi" w:hAnsiTheme="majorHAnsi"/>
          <w:b/>
          <w:i/>
          <w:sz w:val="20"/>
        </w:rPr>
        <w:t>important that any chemicals brought into a laboratory</w:t>
      </w:r>
      <w:r w:rsidR="001410E9">
        <w:rPr>
          <w:rFonts w:asciiTheme="majorHAnsi" w:hAnsiTheme="majorHAnsi"/>
          <w:b/>
          <w:i/>
          <w:sz w:val="20"/>
        </w:rPr>
        <w:t xml:space="preserve"> by other means</w:t>
      </w:r>
      <w:r w:rsidR="00C845FD" w:rsidRPr="00C845FD">
        <w:rPr>
          <w:rFonts w:asciiTheme="majorHAnsi" w:hAnsiTheme="majorHAnsi"/>
          <w:b/>
          <w:i/>
          <w:sz w:val="20"/>
        </w:rPr>
        <w:t xml:space="preserve"> – such as </w:t>
      </w:r>
      <w:r w:rsidR="001410E9">
        <w:rPr>
          <w:rFonts w:asciiTheme="majorHAnsi" w:hAnsiTheme="majorHAnsi"/>
          <w:b/>
          <w:i/>
          <w:sz w:val="20"/>
        </w:rPr>
        <w:t xml:space="preserve">those moved </w:t>
      </w:r>
      <w:r w:rsidR="00C845FD" w:rsidRPr="00C845FD">
        <w:rPr>
          <w:rFonts w:asciiTheme="majorHAnsi" w:hAnsiTheme="majorHAnsi"/>
          <w:b/>
          <w:i/>
          <w:sz w:val="20"/>
        </w:rPr>
        <w:t>from another lab – be included on th</w:t>
      </w:r>
      <w:r w:rsidR="001410E9">
        <w:rPr>
          <w:rFonts w:asciiTheme="majorHAnsi" w:hAnsiTheme="majorHAnsi"/>
          <w:b/>
          <w:i/>
          <w:sz w:val="20"/>
        </w:rPr>
        <w:t xml:space="preserve">e new </w:t>
      </w:r>
      <w:r w:rsidR="00C845FD" w:rsidRPr="00C845FD">
        <w:rPr>
          <w:rFonts w:asciiTheme="majorHAnsi" w:hAnsiTheme="majorHAnsi"/>
          <w:b/>
          <w:i/>
          <w:sz w:val="20"/>
        </w:rPr>
        <w:t>lab’s inventory.</w:t>
      </w:r>
    </w:p>
    <w:p w:rsidR="00397031" w:rsidRPr="00D91F7E" w:rsidRDefault="00397031" w:rsidP="0025375D">
      <w:pPr>
        <w:spacing w:after="120"/>
        <w:rPr>
          <w:rFonts w:asciiTheme="minorHAnsi" w:hAnsiTheme="minorHAnsi"/>
          <w:sz w:val="20"/>
        </w:rPr>
      </w:pPr>
      <w:r w:rsidRPr="00D91F7E">
        <w:rPr>
          <w:rFonts w:asciiTheme="minorHAnsi" w:hAnsiTheme="minorHAnsi"/>
          <w:sz w:val="20"/>
        </w:rPr>
        <w:t>The third speaker was a consultant to Texas universities. There were only two key points in his talk. First, he indicated that he recommended a faculty-based safety committee. Second, he stated that it was very valuable</w:t>
      </w:r>
      <w:r w:rsidR="0056115B" w:rsidRPr="00D91F7E">
        <w:rPr>
          <w:rFonts w:asciiTheme="minorHAnsi" w:hAnsiTheme="minorHAnsi"/>
          <w:sz w:val="20"/>
        </w:rPr>
        <w:t xml:space="preserve"> to ask laboratory occupants if they have safety concerns – his results of that question have been surprising. Many safety potentials were raised through that simple question.</w:t>
      </w:r>
    </w:p>
    <w:p w:rsidR="0056115B" w:rsidRPr="00D91F7E" w:rsidRDefault="0056115B" w:rsidP="0025375D">
      <w:pPr>
        <w:spacing w:after="120"/>
        <w:rPr>
          <w:rFonts w:asciiTheme="minorHAnsi" w:hAnsiTheme="minorHAnsi"/>
          <w:sz w:val="20"/>
        </w:rPr>
      </w:pPr>
      <w:r w:rsidRPr="00D91F7E">
        <w:rPr>
          <w:rFonts w:asciiTheme="minorHAnsi" w:hAnsiTheme="minorHAnsi"/>
          <w:sz w:val="20"/>
        </w:rPr>
        <w:t>The final speaker was from Princeton</w:t>
      </w:r>
      <w:r w:rsidR="00D30E71" w:rsidRPr="00D91F7E">
        <w:rPr>
          <w:rFonts w:asciiTheme="minorHAnsi" w:hAnsiTheme="minorHAnsi"/>
          <w:sz w:val="20"/>
        </w:rPr>
        <w:t xml:space="preserve"> – the MC of the event</w:t>
      </w:r>
      <w:r w:rsidRPr="00D91F7E">
        <w:rPr>
          <w:rFonts w:asciiTheme="minorHAnsi" w:hAnsiTheme="minorHAnsi"/>
          <w:sz w:val="20"/>
        </w:rPr>
        <w:t>.</w:t>
      </w:r>
      <w:r w:rsidR="00D30E71" w:rsidRPr="00D91F7E">
        <w:rPr>
          <w:rFonts w:asciiTheme="minorHAnsi" w:hAnsiTheme="minorHAnsi"/>
          <w:sz w:val="20"/>
        </w:rPr>
        <w:t xml:space="preserve"> She stated that most PIs do not have proper training in supervision. Safety is only a part of that issue, but supervising people to ensure a safety culture is extremely important. To address their perceived deficiency, Princeton provides supervisory training to all PIs, and includes supervision of safety in that training.</w:t>
      </w:r>
    </w:p>
    <w:p w:rsidR="008318A5" w:rsidRPr="00D91F7E" w:rsidRDefault="008318A5" w:rsidP="0025375D">
      <w:pPr>
        <w:spacing w:after="120"/>
        <w:rPr>
          <w:rFonts w:asciiTheme="minorHAnsi" w:hAnsiTheme="minorHAnsi"/>
          <w:sz w:val="20"/>
        </w:rPr>
      </w:pPr>
      <w:r w:rsidRPr="00D91F7E">
        <w:rPr>
          <w:rFonts w:asciiTheme="minorHAnsi" w:hAnsiTheme="minorHAnsi"/>
          <w:sz w:val="20"/>
        </w:rPr>
        <w:t>Additionally, Princeton does a five-minute presentation at a faculty meeting for each engineering, science, and health science department. It was stated that this five-minute presentation leads to a thirty-minute discussion following the presentation – either at that meeting or a subsequent meeting.</w:t>
      </w:r>
    </w:p>
    <w:p w:rsidR="008318A5" w:rsidRPr="00D91F7E" w:rsidRDefault="008318A5" w:rsidP="0025375D">
      <w:pPr>
        <w:spacing w:after="120"/>
        <w:rPr>
          <w:rFonts w:asciiTheme="minorHAnsi" w:hAnsiTheme="minorHAnsi"/>
          <w:sz w:val="20"/>
        </w:rPr>
      </w:pPr>
      <w:r w:rsidRPr="00D91F7E">
        <w:rPr>
          <w:rFonts w:asciiTheme="minorHAnsi" w:hAnsiTheme="minorHAnsi"/>
          <w:sz w:val="20"/>
        </w:rPr>
        <w:t>It was also stated that laboratory training requires in-lab participatory training. An analogy was drawn between laboratory training and driver’s education. One can spend many hours in a classroom learning about driving, but that doesn’t qualify them to drive on the streets – driving requires a practicum, as does safety training.</w:t>
      </w:r>
    </w:p>
    <w:p w:rsidR="0061461B" w:rsidRPr="00D91F7E" w:rsidRDefault="0061461B" w:rsidP="0025375D">
      <w:pPr>
        <w:spacing w:after="120"/>
        <w:rPr>
          <w:rFonts w:asciiTheme="minorHAnsi" w:hAnsiTheme="minorHAnsi"/>
          <w:sz w:val="20"/>
        </w:rPr>
      </w:pPr>
      <w:r w:rsidRPr="00D91F7E">
        <w:rPr>
          <w:rFonts w:asciiTheme="minorHAnsi" w:hAnsiTheme="minorHAnsi"/>
          <w:sz w:val="20"/>
        </w:rPr>
        <w:t>An observation by Princeton safety personnel was that most safety incidents occurred near the end of the spring semester when final projects were due. At this time, students were “rushing” to get projects completed and turned in. The premise is that better project management skills by the students will lead to less rushing and therefore fewer accidents. With that in mind, Princeton is adding project management training as a mandatory part of lab safety training.</w:t>
      </w:r>
    </w:p>
    <w:p w:rsidR="00B9162C" w:rsidRPr="00D91F7E" w:rsidRDefault="00B9162C" w:rsidP="0025375D">
      <w:pPr>
        <w:spacing w:after="120"/>
        <w:rPr>
          <w:rFonts w:asciiTheme="minorHAnsi" w:hAnsiTheme="minorHAnsi"/>
          <w:sz w:val="20"/>
        </w:rPr>
      </w:pPr>
      <w:r w:rsidRPr="00D91F7E">
        <w:rPr>
          <w:rFonts w:asciiTheme="minorHAnsi" w:hAnsiTheme="minorHAnsi"/>
          <w:sz w:val="20"/>
        </w:rPr>
        <w:t>A final note in the conference related to machine-shop safety. This discussion grew out of the fatality in the research machine shop at Yale last year, where a female student’s hair was caught in a lathe. Princeton has imposed a rule that a supervisor – not just someone else – must be present any time an undergraduate is working in the shop.</w:t>
      </w:r>
      <w:r w:rsidR="0061461B" w:rsidRPr="00D91F7E">
        <w:rPr>
          <w:rFonts w:asciiTheme="minorHAnsi" w:hAnsiTheme="minorHAnsi"/>
          <w:sz w:val="20"/>
        </w:rPr>
        <w:t xml:space="preserve"> They have also eliminated after-hours machine-shop access for students.</w:t>
      </w:r>
    </w:p>
    <w:p w:rsidR="001E0938" w:rsidRPr="00D91F7E" w:rsidRDefault="00B9162C" w:rsidP="0025375D">
      <w:pPr>
        <w:spacing w:after="120"/>
        <w:rPr>
          <w:rFonts w:asciiTheme="minorHAnsi" w:hAnsiTheme="minorHAnsi"/>
          <w:sz w:val="20"/>
        </w:rPr>
      </w:pPr>
      <w:r w:rsidRPr="00D91F7E">
        <w:rPr>
          <w:rFonts w:asciiTheme="minorHAnsi" w:hAnsiTheme="minorHAnsi"/>
          <w:sz w:val="20"/>
        </w:rPr>
        <w:t xml:space="preserve">Overall, the Webinar was very interesting and provided a very nice insight into practices and policies at other universities, as well as the legal implications of </w:t>
      </w:r>
      <w:r w:rsidR="001E0938" w:rsidRPr="00D91F7E">
        <w:rPr>
          <w:rFonts w:asciiTheme="minorHAnsi" w:hAnsiTheme="minorHAnsi"/>
          <w:sz w:val="20"/>
        </w:rPr>
        <w:t>safety policies in the aftermath of an accident.</w:t>
      </w:r>
      <w:r w:rsidR="00C845FD">
        <w:rPr>
          <w:rFonts w:asciiTheme="minorHAnsi" w:hAnsiTheme="minorHAnsi"/>
          <w:sz w:val="20"/>
        </w:rPr>
        <w:t xml:space="preserve"> I hope that sharing these insights is helpful to you.</w:t>
      </w:r>
    </w:p>
    <w:p w:rsidR="008318A5" w:rsidRPr="00D91F7E" w:rsidRDefault="001E0938" w:rsidP="0025375D">
      <w:pPr>
        <w:spacing w:after="120"/>
        <w:rPr>
          <w:rFonts w:asciiTheme="minorHAnsi" w:hAnsiTheme="minorHAnsi"/>
          <w:sz w:val="20"/>
        </w:rPr>
      </w:pPr>
      <w:r w:rsidRPr="00D91F7E">
        <w:rPr>
          <w:rFonts w:asciiTheme="minorHAnsi" w:hAnsiTheme="minorHAnsi"/>
          <w:sz w:val="20"/>
        </w:rPr>
        <w:t>John Weaver</w:t>
      </w:r>
      <w:r w:rsidR="00B9162C" w:rsidRPr="00D91F7E">
        <w:rPr>
          <w:rFonts w:asciiTheme="minorHAnsi" w:hAnsiTheme="minorHAnsi"/>
          <w:sz w:val="20"/>
        </w:rPr>
        <w:t xml:space="preserve"> </w:t>
      </w:r>
    </w:p>
    <w:p w:rsidR="004B11EA" w:rsidRPr="00D91F7E" w:rsidRDefault="004B11EA" w:rsidP="00661B9A">
      <w:pPr>
        <w:tabs>
          <w:tab w:val="left" w:pos="900"/>
          <w:tab w:val="left" w:pos="1980"/>
        </w:tabs>
        <w:ind w:left="270"/>
        <w:rPr>
          <w:rFonts w:asciiTheme="minorHAnsi" w:hAnsiTheme="minorHAnsi"/>
          <w:sz w:val="20"/>
        </w:rPr>
      </w:pPr>
    </w:p>
    <w:p w:rsidR="00D9485F" w:rsidRPr="00D9485F" w:rsidRDefault="00D9485F" w:rsidP="00B47D39">
      <w:pPr>
        <w:tabs>
          <w:tab w:val="left" w:pos="9619"/>
        </w:tabs>
        <w:ind w:left="5400" w:right="-20"/>
        <w:rPr>
          <w:i/>
          <w:sz w:val="22"/>
        </w:rPr>
      </w:pPr>
    </w:p>
    <w:sectPr w:rsidR="00D9485F" w:rsidRPr="00D9485F" w:rsidSect="0002652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10E9" w:rsidRDefault="001410E9">
      <w:r>
        <w:separator/>
      </w:r>
    </w:p>
  </w:endnote>
  <w:endnote w:type="continuationSeparator" w:id="0">
    <w:p w:rsidR="001410E9" w:rsidRDefault="001410E9">
      <w:r>
        <w:continuationSeparator/>
      </w:r>
    </w:p>
  </w:endnote>
  <w:endnote w:id="1">
    <w:p w:rsidR="001410E9" w:rsidRPr="00F90925" w:rsidRDefault="001410E9" w:rsidP="00A61DF3">
      <w:pPr>
        <w:pStyle w:val="EndnoteText"/>
        <w:spacing w:after="240"/>
        <w:rPr>
          <w:rFonts w:asciiTheme="minorHAnsi" w:hAnsiTheme="minorHAnsi"/>
          <w:sz w:val="18"/>
          <w:szCs w:val="18"/>
        </w:rPr>
      </w:pPr>
      <w:r>
        <w:rPr>
          <w:rStyle w:val="EndnoteReference"/>
        </w:rPr>
        <w:endnoteRef/>
      </w:r>
      <w:r>
        <w:t xml:space="preserve"> </w:t>
      </w:r>
      <w:proofErr w:type="gramStart"/>
      <w:r w:rsidRPr="00F90925">
        <w:rPr>
          <w:rFonts w:asciiTheme="minorHAnsi" w:hAnsiTheme="minorHAnsi"/>
          <w:sz w:val="18"/>
          <w:szCs w:val="18"/>
        </w:rPr>
        <w:t>Campus Safety Health &amp; Environmental Management Society.</w:t>
      </w:r>
      <w:proofErr w:type="gramEnd"/>
      <w:r w:rsidRPr="00F90925">
        <w:rPr>
          <w:rFonts w:asciiTheme="minorHAnsi" w:hAnsiTheme="minorHAnsi"/>
          <w:sz w:val="18"/>
          <w:szCs w:val="18"/>
        </w:rPr>
        <w:t xml:space="preserve"> The co-sponsor was NACUBO, the National Association of College and University Business Officers. Collaborating </w:t>
      </w:r>
      <w:proofErr w:type="gramStart"/>
      <w:r w:rsidRPr="00F90925">
        <w:rPr>
          <w:rFonts w:asciiTheme="minorHAnsi" w:hAnsiTheme="minorHAnsi"/>
          <w:sz w:val="18"/>
          <w:szCs w:val="18"/>
        </w:rPr>
        <w:t>were</w:t>
      </w:r>
      <w:proofErr w:type="gramEnd"/>
      <w:r w:rsidRPr="00F90925">
        <w:rPr>
          <w:rFonts w:asciiTheme="minorHAnsi" w:hAnsiTheme="minorHAnsi"/>
          <w:sz w:val="18"/>
          <w:szCs w:val="18"/>
        </w:rPr>
        <w:t xml:space="preserve"> the American Council on Education, National Association of College and University Attorneys, National Association of Scientific Materials Managers, and University Risk Management and Insurance Association.</w:t>
      </w:r>
    </w:p>
  </w:endnote>
  <w:endnote w:id="2">
    <w:p w:rsidR="001410E9" w:rsidRPr="00F90925" w:rsidRDefault="001410E9" w:rsidP="00C7361C">
      <w:pPr>
        <w:rPr>
          <w:rFonts w:asciiTheme="minorHAnsi" w:hAnsiTheme="minorHAnsi"/>
          <w:sz w:val="18"/>
          <w:szCs w:val="18"/>
        </w:rPr>
      </w:pPr>
      <w:r>
        <w:rPr>
          <w:rStyle w:val="EndnoteReference"/>
        </w:rPr>
        <w:endnoteRef/>
      </w:r>
      <w:r>
        <w:t xml:space="preserve"> </w:t>
      </w:r>
      <w:r w:rsidRPr="00F90925">
        <w:rPr>
          <w:rFonts w:asciiTheme="minorHAnsi" w:hAnsiTheme="minorHAnsi"/>
          <w:b/>
          <w:bCs/>
          <w:sz w:val="18"/>
          <w:szCs w:val="18"/>
        </w:rPr>
        <w:t xml:space="preserve">Count 1: </w:t>
      </w:r>
      <w:r w:rsidRPr="00F90925">
        <w:rPr>
          <w:rFonts w:asciiTheme="minorHAnsi" w:hAnsiTheme="minorHAnsi"/>
          <w:sz w:val="18"/>
          <w:szCs w:val="18"/>
        </w:rPr>
        <w:t xml:space="preserve"> On or about December 29th, 2008, in the county of Los Angeles, the crime of WILLFUL VIOLATION OF AN OCCUPATIONAL SAFETY &amp; HEALTH STANDARD CAUSING THE DEATH OF AN EMPLOYEE, in violation of LABOR CODE SECTION 6425(a), a Felony, was committed by THE REGENTS OF THE UNIVERSITY OF CALIFORNIA, A PUBLIC CORPORATION, UNIVERSITY OF CALIFORNIA LOS ANGELES, and PATRICK HARRAN who were the employers and an employee having direction, management, control or custody of </w:t>
      </w:r>
      <w:proofErr w:type="spellStart"/>
      <w:r w:rsidRPr="00F90925">
        <w:rPr>
          <w:rFonts w:asciiTheme="minorHAnsi" w:hAnsiTheme="minorHAnsi"/>
          <w:sz w:val="18"/>
          <w:szCs w:val="18"/>
        </w:rPr>
        <w:t>Sheharbano</w:t>
      </w:r>
      <w:proofErr w:type="spellEnd"/>
      <w:r w:rsidRPr="00F90925">
        <w:rPr>
          <w:rFonts w:asciiTheme="minorHAnsi" w:hAnsiTheme="minorHAnsi"/>
          <w:sz w:val="18"/>
          <w:szCs w:val="18"/>
        </w:rPr>
        <w:t xml:space="preserve"> </w:t>
      </w:r>
      <w:proofErr w:type="spellStart"/>
      <w:r w:rsidRPr="00F90925">
        <w:rPr>
          <w:rFonts w:asciiTheme="minorHAnsi" w:hAnsiTheme="minorHAnsi"/>
          <w:sz w:val="18"/>
          <w:szCs w:val="18"/>
        </w:rPr>
        <w:t>Sangji</w:t>
      </w:r>
      <w:proofErr w:type="spellEnd"/>
      <w:r w:rsidRPr="00F90925">
        <w:rPr>
          <w:rFonts w:asciiTheme="minorHAnsi" w:hAnsiTheme="minorHAnsi"/>
          <w:sz w:val="18"/>
          <w:szCs w:val="18"/>
        </w:rPr>
        <w:t>, who was an employee at the University of California, Los Angeles.  It is alleged that the DEFENDANTS willfully violated CALIFORNIA CODE OF REGULATIONS TITLE 8, SECTION 5191(f</w:t>
      </w:r>
      <w:proofErr w:type="gramStart"/>
      <w:r w:rsidRPr="00F90925">
        <w:rPr>
          <w:rFonts w:asciiTheme="minorHAnsi" w:hAnsiTheme="minorHAnsi"/>
          <w:sz w:val="18"/>
          <w:szCs w:val="18"/>
        </w:rPr>
        <w:t>)(</w:t>
      </w:r>
      <w:proofErr w:type="gramEnd"/>
      <w:r w:rsidRPr="00F90925">
        <w:rPr>
          <w:rFonts w:asciiTheme="minorHAnsi" w:hAnsiTheme="minorHAnsi"/>
          <w:sz w:val="18"/>
          <w:szCs w:val="18"/>
        </w:rPr>
        <w:t>4), a California occupational safety regulation.</w:t>
      </w:r>
    </w:p>
    <w:p w:rsidR="001410E9" w:rsidRPr="00F90925" w:rsidRDefault="001410E9" w:rsidP="00C7361C">
      <w:pPr>
        <w:rPr>
          <w:rFonts w:asciiTheme="minorHAnsi" w:hAnsiTheme="minorHAnsi"/>
          <w:sz w:val="18"/>
          <w:szCs w:val="18"/>
        </w:rPr>
      </w:pPr>
    </w:p>
    <w:p w:rsidR="001410E9" w:rsidRPr="00F90925" w:rsidRDefault="001410E9" w:rsidP="00C7361C">
      <w:pPr>
        <w:rPr>
          <w:rFonts w:asciiTheme="minorHAnsi" w:hAnsiTheme="minorHAnsi"/>
          <w:sz w:val="18"/>
          <w:szCs w:val="18"/>
        </w:rPr>
      </w:pPr>
      <w:r w:rsidRPr="00F90925">
        <w:rPr>
          <w:rFonts w:asciiTheme="minorHAnsi" w:hAnsiTheme="minorHAnsi"/>
          <w:b/>
          <w:bCs/>
          <w:sz w:val="18"/>
          <w:szCs w:val="18"/>
        </w:rPr>
        <w:t xml:space="preserve">§5191. </w:t>
      </w:r>
      <w:proofErr w:type="gramStart"/>
      <w:r w:rsidRPr="00F90925">
        <w:rPr>
          <w:rFonts w:asciiTheme="minorHAnsi" w:hAnsiTheme="minorHAnsi"/>
          <w:b/>
          <w:bCs/>
          <w:sz w:val="18"/>
          <w:szCs w:val="18"/>
        </w:rPr>
        <w:t>Occupational Exposure to Hazardous Chemicals in Laboratories.</w:t>
      </w:r>
      <w:proofErr w:type="gramEnd"/>
    </w:p>
    <w:p w:rsidR="001410E9" w:rsidRPr="00F90925" w:rsidRDefault="001410E9" w:rsidP="00C7361C">
      <w:pPr>
        <w:rPr>
          <w:rFonts w:asciiTheme="minorHAnsi" w:hAnsiTheme="minorHAnsi"/>
          <w:sz w:val="18"/>
          <w:szCs w:val="18"/>
        </w:rPr>
      </w:pPr>
      <w:r w:rsidRPr="00F90925">
        <w:rPr>
          <w:rFonts w:asciiTheme="minorHAnsi" w:hAnsiTheme="minorHAnsi"/>
          <w:b/>
          <w:bCs/>
          <w:sz w:val="18"/>
          <w:szCs w:val="18"/>
        </w:rPr>
        <w:t>(f) Employee information and training.</w:t>
      </w:r>
    </w:p>
    <w:p w:rsidR="001410E9" w:rsidRPr="00F90925" w:rsidRDefault="001410E9" w:rsidP="00F90925">
      <w:pPr>
        <w:spacing w:after="120"/>
        <w:rPr>
          <w:rFonts w:asciiTheme="minorHAnsi" w:hAnsiTheme="minorHAnsi"/>
          <w:sz w:val="18"/>
          <w:szCs w:val="18"/>
        </w:rPr>
      </w:pPr>
      <w:r w:rsidRPr="00F90925">
        <w:rPr>
          <w:rFonts w:asciiTheme="minorHAnsi" w:hAnsiTheme="minorHAnsi"/>
          <w:b/>
          <w:bCs/>
          <w:sz w:val="18"/>
          <w:szCs w:val="18"/>
        </w:rPr>
        <w:t>(4) Training.</w:t>
      </w:r>
      <w:r w:rsidRPr="00F90925">
        <w:rPr>
          <w:rFonts w:asciiTheme="minorHAnsi" w:hAnsiTheme="minorHAnsi"/>
          <w:sz w:val="18"/>
          <w:szCs w:val="18"/>
        </w:rPr>
        <w:br/>
      </w:r>
      <w:r w:rsidRPr="00F90925">
        <w:rPr>
          <w:rFonts w:asciiTheme="minorHAnsi" w:hAnsiTheme="minorHAnsi"/>
          <w:b/>
          <w:bCs/>
          <w:sz w:val="18"/>
          <w:szCs w:val="18"/>
        </w:rPr>
        <w:t>(A) Employee training shall include;</w:t>
      </w:r>
    </w:p>
    <w:p w:rsidR="001410E9" w:rsidRPr="00F90925" w:rsidRDefault="001410E9" w:rsidP="00F90925">
      <w:pPr>
        <w:spacing w:after="120"/>
        <w:rPr>
          <w:rFonts w:asciiTheme="minorHAnsi" w:hAnsiTheme="minorHAnsi"/>
          <w:sz w:val="18"/>
          <w:szCs w:val="18"/>
        </w:rPr>
      </w:pPr>
      <w:r w:rsidRPr="00F90925">
        <w:rPr>
          <w:rFonts w:asciiTheme="minorHAnsi" w:hAnsiTheme="minorHAnsi"/>
          <w:sz w:val="18"/>
          <w:szCs w:val="18"/>
        </w:rPr>
        <w:t>1. Methods and observations that may be used to detect the presence or release of a hazardous chemical (such as monitoring conducted by the employer, continuous monitoring devices, visual appearance or odor of hazardous chemicals when being released, etc.);</w:t>
      </w:r>
    </w:p>
    <w:p w:rsidR="001410E9" w:rsidRPr="00F90925" w:rsidRDefault="001410E9" w:rsidP="00F90925">
      <w:pPr>
        <w:spacing w:after="120"/>
        <w:rPr>
          <w:rFonts w:asciiTheme="minorHAnsi" w:hAnsiTheme="minorHAnsi"/>
          <w:sz w:val="18"/>
          <w:szCs w:val="18"/>
        </w:rPr>
      </w:pPr>
      <w:r w:rsidRPr="00F90925">
        <w:rPr>
          <w:rFonts w:asciiTheme="minorHAnsi" w:hAnsiTheme="minorHAnsi"/>
          <w:b/>
          <w:bCs/>
          <w:sz w:val="18"/>
          <w:szCs w:val="18"/>
        </w:rPr>
        <w:t>2. The physical and health hazards of chemicals in the work area; and</w:t>
      </w:r>
    </w:p>
    <w:p w:rsidR="001410E9" w:rsidRPr="00F90925" w:rsidRDefault="001410E9" w:rsidP="00C7361C">
      <w:pPr>
        <w:rPr>
          <w:rFonts w:asciiTheme="minorHAnsi" w:hAnsiTheme="minorHAnsi"/>
          <w:sz w:val="18"/>
          <w:szCs w:val="18"/>
        </w:rPr>
      </w:pPr>
      <w:r w:rsidRPr="00F90925">
        <w:rPr>
          <w:rFonts w:asciiTheme="minorHAnsi" w:hAnsiTheme="minorHAnsi"/>
          <w:b/>
          <w:bCs/>
          <w:sz w:val="18"/>
          <w:szCs w:val="18"/>
        </w:rPr>
        <w:t>3. The measures employees can take to protect themselves from these hazards, including specific procedures the employer has implemented to protect employees from exposure to hazardous chemicals, such as appropriate work practices, emergency procedures, and personal protective equipment to be used.</w:t>
      </w:r>
      <w:r w:rsidRPr="00F90925">
        <w:rPr>
          <w:rFonts w:asciiTheme="minorHAnsi" w:hAnsiTheme="minorHAnsi"/>
          <w:sz w:val="18"/>
          <w:szCs w:val="18"/>
        </w:rPr>
        <w:br/>
      </w:r>
      <w:r w:rsidRPr="00F90925">
        <w:rPr>
          <w:rFonts w:asciiTheme="minorHAnsi" w:hAnsiTheme="minorHAnsi"/>
          <w:b/>
          <w:bCs/>
          <w:sz w:val="18"/>
          <w:szCs w:val="18"/>
        </w:rPr>
        <w:t>(B) The employee shall be trained on the applicable details of the employer's written Chemical Hygiene Plan.</w:t>
      </w:r>
    </w:p>
    <w:p w:rsidR="001410E9" w:rsidRPr="00F90925" w:rsidRDefault="001410E9" w:rsidP="00C7361C">
      <w:pPr>
        <w:rPr>
          <w:rFonts w:asciiTheme="minorHAnsi" w:hAnsiTheme="minorHAnsi"/>
          <w:sz w:val="18"/>
          <w:szCs w:val="18"/>
        </w:rPr>
      </w:pPr>
    </w:p>
    <w:p w:rsidR="001410E9" w:rsidRPr="00F90925" w:rsidRDefault="001410E9" w:rsidP="00CC7AEE">
      <w:pPr>
        <w:spacing w:after="120"/>
        <w:rPr>
          <w:rFonts w:asciiTheme="minorHAnsi" w:hAnsiTheme="minorHAnsi"/>
          <w:sz w:val="18"/>
          <w:szCs w:val="18"/>
        </w:rPr>
      </w:pPr>
      <w:r w:rsidRPr="00F90925">
        <w:rPr>
          <w:rFonts w:asciiTheme="minorHAnsi" w:hAnsiTheme="minorHAnsi"/>
          <w:sz w:val="18"/>
          <w:szCs w:val="18"/>
        </w:rPr>
        <w:t> </w:t>
      </w:r>
      <w:r w:rsidRPr="00F90925">
        <w:rPr>
          <w:rFonts w:asciiTheme="minorHAnsi" w:hAnsiTheme="minorHAnsi"/>
          <w:b/>
          <w:bCs/>
          <w:sz w:val="18"/>
          <w:szCs w:val="18"/>
        </w:rPr>
        <w:t>"Count 2:</w:t>
      </w:r>
      <w:r w:rsidRPr="00F90925">
        <w:rPr>
          <w:rFonts w:asciiTheme="minorHAnsi" w:hAnsiTheme="minorHAnsi"/>
          <w:sz w:val="18"/>
          <w:szCs w:val="18"/>
        </w:rPr>
        <w:t xml:space="preserve">  On or about December 29th, 2008, in the county of Los Angeles, the crime of WILLFUL VIOLATION OF AN OCCUPATIONAL SAFETY &amp; HEALTH STANDARD CAUSING THE DEATH OF AN EMPLOYEE, in violation of LABOR CODE SECTION 6425(a), a Felony, was committed by THE REGENTS OF THE UNIVERSITY OF CALIFORNIA, A PUBLIC CORPORATION, UNIVERSITY OF CALIFORNIA LOS ANGELES, and PATRICK HARRAN who were the employers and an employee having direction, management, control or custody of </w:t>
      </w:r>
      <w:proofErr w:type="spellStart"/>
      <w:r w:rsidRPr="00F90925">
        <w:rPr>
          <w:rFonts w:asciiTheme="minorHAnsi" w:hAnsiTheme="minorHAnsi"/>
          <w:sz w:val="18"/>
          <w:szCs w:val="18"/>
        </w:rPr>
        <w:t>Sheharbano</w:t>
      </w:r>
      <w:proofErr w:type="spellEnd"/>
      <w:r w:rsidRPr="00F90925">
        <w:rPr>
          <w:rFonts w:asciiTheme="minorHAnsi" w:hAnsiTheme="minorHAnsi"/>
          <w:sz w:val="18"/>
          <w:szCs w:val="18"/>
        </w:rPr>
        <w:t xml:space="preserve"> </w:t>
      </w:r>
      <w:proofErr w:type="spellStart"/>
      <w:r w:rsidRPr="00F90925">
        <w:rPr>
          <w:rFonts w:asciiTheme="minorHAnsi" w:hAnsiTheme="minorHAnsi"/>
          <w:sz w:val="18"/>
          <w:szCs w:val="18"/>
        </w:rPr>
        <w:t>Sangji</w:t>
      </w:r>
      <w:proofErr w:type="spellEnd"/>
      <w:r w:rsidRPr="00F90925">
        <w:rPr>
          <w:rFonts w:asciiTheme="minorHAnsi" w:hAnsiTheme="minorHAnsi"/>
          <w:sz w:val="18"/>
          <w:szCs w:val="18"/>
        </w:rPr>
        <w:t>, who was an employee at the University of California, Los Angeles.  It is alleged that the DEFENDANTS willfully violated CALIFORNIA CODE OF REGULATIONS TITLE 8, SECTION 3203(a</w:t>
      </w:r>
      <w:proofErr w:type="gramStart"/>
      <w:r w:rsidRPr="00F90925">
        <w:rPr>
          <w:rFonts w:asciiTheme="minorHAnsi" w:hAnsiTheme="minorHAnsi"/>
          <w:sz w:val="18"/>
          <w:szCs w:val="18"/>
        </w:rPr>
        <w:t>)(</w:t>
      </w:r>
      <w:proofErr w:type="gramEnd"/>
      <w:r w:rsidRPr="00F90925">
        <w:rPr>
          <w:rFonts w:asciiTheme="minorHAnsi" w:hAnsiTheme="minorHAnsi"/>
          <w:sz w:val="18"/>
          <w:szCs w:val="18"/>
        </w:rPr>
        <w:t>6), a California occupational safety regulation.</w:t>
      </w:r>
    </w:p>
    <w:p w:rsidR="001410E9" w:rsidRPr="00F90925" w:rsidRDefault="001410E9" w:rsidP="00C7361C">
      <w:pPr>
        <w:rPr>
          <w:rFonts w:asciiTheme="minorHAnsi" w:hAnsiTheme="minorHAnsi"/>
          <w:sz w:val="18"/>
          <w:szCs w:val="18"/>
        </w:rPr>
      </w:pPr>
      <w:r w:rsidRPr="00F90925">
        <w:rPr>
          <w:rFonts w:asciiTheme="minorHAnsi" w:hAnsiTheme="minorHAnsi"/>
          <w:b/>
          <w:bCs/>
          <w:sz w:val="18"/>
          <w:szCs w:val="18"/>
        </w:rPr>
        <w:t>§3203. Injury and Illness Prevention Program</w:t>
      </w:r>
    </w:p>
    <w:p w:rsidR="001410E9" w:rsidRPr="00F90925" w:rsidRDefault="001410E9" w:rsidP="00CC7AEE">
      <w:pPr>
        <w:spacing w:after="120"/>
        <w:rPr>
          <w:rFonts w:asciiTheme="minorHAnsi" w:hAnsiTheme="minorHAnsi"/>
          <w:sz w:val="18"/>
          <w:szCs w:val="18"/>
        </w:rPr>
      </w:pPr>
      <w:r w:rsidRPr="00F90925">
        <w:rPr>
          <w:rFonts w:asciiTheme="minorHAnsi" w:hAnsiTheme="minorHAnsi"/>
          <w:b/>
          <w:bCs/>
          <w:sz w:val="18"/>
          <w:szCs w:val="18"/>
        </w:rPr>
        <w:t>(a) Effective July 1, 1991, every employer shall establish, implement and maintain an effective Injury and Illness Prevention Program (Program). The Program shall be in writing and, shall, at a minimum:</w:t>
      </w:r>
    </w:p>
    <w:p w:rsidR="001410E9" w:rsidRPr="00F90925" w:rsidRDefault="001410E9" w:rsidP="00CC7AEE">
      <w:pPr>
        <w:spacing w:after="120"/>
        <w:rPr>
          <w:rFonts w:asciiTheme="minorHAnsi" w:hAnsiTheme="minorHAnsi"/>
          <w:sz w:val="18"/>
          <w:szCs w:val="18"/>
        </w:rPr>
      </w:pPr>
      <w:r w:rsidRPr="00F90925">
        <w:rPr>
          <w:rFonts w:asciiTheme="minorHAnsi" w:hAnsiTheme="minorHAnsi"/>
          <w:sz w:val="18"/>
          <w:szCs w:val="18"/>
        </w:rPr>
        <w:t>(6) Include methods and/or procedures for correcting unsafe or unhealthy conditions, work practices and work procedures in a timely manner based on the severity of the hazard:</w:t>
      </w:r>
    </w:p>
    <w:p w:rsidR="001410E9" w:rsidRPr="00F90925" w:rsidRDefault="001410E9" w:rsidP="00CC7AEE">
      <w:pPr>
        <w:spacing w:after="120"/>
        <w:rPr>
          <w:rFonts w:asciiTheme="minorHAnsi" w:hAnsiTheme="minorHAnsi"/>
          <w:sz w:val="18"/>
          <w:szCs w:val="18"/>
        </w:rPr>
      </w:pPr>
      <w:r w:rsidRPr="00F90925">
        <w:rPr>
          <w:rFonts w:asciiTheme="minorHAnsi" w:hAnsiTheme="minorHAnsi"/>
          <w:sz w:val="18"/>
          <w:szCs w:val="18"/>
        </w:rPr>
        <w:t>(A) When observed or discovered; and,</w:t>
      </w:r>
    </w:p>
    <w:p w:rsidR="001410E9" w:rsidRPr="00F90925" w:rsidRDefault="001410E9" w:rsidP="00C7361C">
      <w:pPr>
        <w:rPr>
          <w:rFonts w:asciiTheme="minorHAnsi" w:hAnsiTheme="minorHAnsi"/>
          <w:sz w:val="18"/>
          <w:szCs w:val="18"/>
        </w:rPr>
      </w:pPr>
      <w:r w:rsidRPr="00F90925">
        <w:rPr>
          <w:rFonts w:asciiTheme="minorHAnsi" w:hAnsiTheme="minorHAnsi"/>
          <w:sz w:val="18"/>
          <w:szCs w:val="18"/>
        </w:rPr>
        <w:t>(B) When an imminent hazard exists which cannot be immediately abated without endangering employee(s) and/or property, remove all exposed personnel from the area except those necessary to correct the existing condition. Employees necessary to correct the hazardous condition shall be provided the necessary safeguards. </w:t>
      </w:r>
    </w:p>
    <w:p w:rsidR="001410E9" w:rsidRPr="00F90925" w:rsidRDefault="001410E9" w:rsidP="00C7361C">
      <w:pPr>
        <w:rPr>
          <w:rFonts w:asciiTheme="minorHAnsi" w:hAnsiTheme="minorHAnsi"/>
          <w:sz w:val="18"/>
          <w:szCs w:val="18"/>
        </w:rPr>
      </w:pPr>
    </w:p>
    <w:p w:rsidR="001410E9" w:rsidRPr="00F90925" w:rsidRDefault="001410E9" w:rsidP="00C7361C">
      <w:pPr>
        <w:rPr>
          <w:rFonts w:asciiTheme="minorHAnsi" w:hAnsiTheme="minorHAnsi"/>
          <w:sz w:val="18"/>
          <w:szCs w:val="18"/>
        </w:rPr>
      </w:pPr>
      <w:r w:rsidRPr="00F90925">
        <w:rPr>
          <w:rFonts w:asciiTheme="minorHAnsi" w:hAnsiTheme="minorHAnsi"/>
          <w:sz w:val="18"/>
          <w:szCs w:val="18"/>
        </w:rPr>
        <w:t>"</w:t>
      </w:r>
      <w:r w:rsidRPr="00F90925">
        <w:rPr>
          <w:rFonts w:asciiTheme="minorHAnsi" w:hAnsiTheme="minorHAnsi"/>
          <w:b/>
          <w:bCs/>
          <w:sz w:val="18"/>
          <w:szCs w:val="18"/>
        </w:rPr>
        <w:t>Count 3</w:t>
      </w:r>
      <w:r w:rsidRPr="00F90925">
        <w:rPr>
          <w:rFonts w:asciiTheme="minorHAnsi" w:hAnsiTheme="minorHAnsi"/>
          <w:sz w:val="18"/>
          <w:szCs w:val="18"/>
        </w:rPr>
        <w:t xml:space="preserve">:  On or about December 29th, 2008, in the county of Los Angeles, the crime of WILLFUL VIOLATION OF AN OCCUPATIONAL SAFETY &amp; HEALTH STANDARD CAUSING THE DEATH OF AN EMPLOYEE, in violation of LABOR CODE SECTION 6425(a), a Felony, was committed by THE REGENTS OF THE UNIVERSITY OF CALIFORNIA, A PUBLIC CORPORATION, UNIVERSITY OF CALIFORNIA LOS ANGELES, and PATRICK HARRAN who were the employers and an employee having direction, management, control or custody of </w:t>
      </w:r>
      <w:proofErr w:type="spellStart"/>
      <w:r w:rsidRPr="00F90925">
        <w:rPr>
          <w:rFonts w:asciiTheme="minorHAnsi" w:hAnsiTheme="minorHAnsi"/>
          <w:sz w:val="18"/>
          <w:szCs w:val="18"/>
        </w:rPr>
        <w:t>Sheharbano</w:t>
      </w:r>
      <w:proofErr w:type="spellEnd"/>
      <w:r w:rsidRPr="00F90925">
        <w:rPr>
          <w:rFonts w:asciiTheme="minorHAnsi" w:hAnsiTheme="minorHAnsi"/>
          <w:sz w:val="18"/>
          <w:szCs w:val="18"/>
        </w:rPr>
        <w:t xml:space="preserve"> </w:t>
      </w:r>
      <w:proofErr w:type="spellStart"/>
      <w:r w:rsidRPr="00F90925">
        <w:rPr>
          <w:rFonts w:asciiTheme="minorHAnsi" w:hAnsiTheme="minorHAnsi"/>
          <w:sz w:val="18"/>
          <w:szCs w:val="18"/>
        </w:rPr>
        <w:t>Sangji</w:t>
      </w:r>
      <w:proofErr w:type="spellEnd"/>
      <w:r w:rsidRPr="00F90925">
        <w:rPr>
          <w:rFonts w:asciiTheme="minorHAnsi" w:hAnsiTheme="minorHAnsi"/>
          <w:sz w:val="18"/>
          <w:szCs w:val="18"/>
        </w:rPr>
        <w:t xml:space="preserve">, who was an employee at the University of California, Los Angeles.  It is alleged that the DEFENDANTS willfully violated CALIFORNIA CODE OF REGULATIONS TITLE 8, SECTION 3383(b), </w:t>
      </w:r>
      <w:proofErr w:type="gramStart"/>
      <w:r w:rsidRPr="00F90925">
        <w:rPr>
          <w:rFonts w:asciiTheme="minorHAnsi" w:hAnsiTheme="minorHAnsi"/>
          <w:sz w:val="18"/>
          <w:szCs w:val="18"/>
        </w:rPr>
        <w:t>a</w:t>
      </w:r>
      <w:proofErr w:type="gramEnd"/>
      <w:r w:rsidRPr="00F90925">
        <w:rPr>
          <w:rFonts w:asciiTheme="minorHAnsi" w:hAnsiTheme="minorHAnsi"/>
          <w:sz w:val="18"/>
          <w:szCs w:val="18"/>
        </w:rPr>
        <w:t xml:space="preserve"> California occupational safety regulation."</w:t>
      </w:r>
    </w:p>
    <w:p w:rsidR="001410E9" w:rsidRPr="00F90925" w:rsidRDefault="001410E9" w:rsidP="00C7361C">
      <w:pPr>
        <w:rPr>
          <w:rFonts w:asciiTheme="minorHAnsi" w:hAnsiTheme="minorHAnsi"/>
          <w:sz w:val="18"/>
          <w:szCs w:val="18"/>
        </w:rPr>
      </w:pPr>
    </w:p>
    <w:p w:rsidR="001410E9" w:rsidRPr="00F90925" w:rsidRDefault="001410E9" w:rsidP="00C7361C">
      <w:pPr>
        <w:rPr>
          <w:rFonts w:asciiTheme="minorHAnsi" w:hAnsiTheme="minorHAnsi"/>
          <w:sz w:val="18"/>
          <w:szCs w:val="18"/>
        </w:rPr>
      </w:pPr>
      <w:r w:rsidRPr="00F90925">
        <w:rPr>
          <w:rFonts w:asciiTheme="minorHAnsi" w:hAnsiTheme="minorHAnsi"/>
          <w:b/>
          <w:bCs/>
          <w:sz w:val="18"/>
          <w:szCs w:val="18"/>
        </w:rPr>
        <w:t xml:space="preserve">§3383. </w:t>
      </w:r>
      <w:proofErr w:type="gramStart"/>
      <w:r w:rsidRPr="00F90925">
        <w:rPr>
          <w:rFonts w:asciiTheme="minorHAnsi" w:hAnsiTheme="minorHAnsi"/>
          <w:b/>
          <w:bCs/>
          <w:sz w:val="18"/>
          <w:szCs w:val="18"/>
        </w:rPr>
        <w:t>Body Protection.</w:t>
      </w:r>
      <w:proofErr w:type="gramEnd"/>
    </w:p>
    <w:p w:rsidR="001410E9" w:rsidRDefault="001410E9" w:rsidP="00A61DF3">
      <w:pPr>
        <w:pStyle w:val="EndnoteText"/>
        <w:rPr>
          <w:rFonts w:asciiTheme="minorHAnsi" w:hAnsiTheme="minorHAnsi"/>
          <w:sz w:val="18"/>
          <w:szCs w:val="18"/>
        </w:rPr>
      </w:pPr>
      <w:r w:rsidRPr="00F90925">
        <w:rPr>
          <w:rFonts w:asciiTheme="minorHAnsi" w:hAnsiTheme="minorHAnsi"/>
          <w:b/>
          <w:bCs/>
          <w:sz w:val="18"/>
          <w:szCs w:val="18"/>
        </w:rPr>
        <w:t xml:space="preserve">(b) Clothing appropriate for the work being done shall be worn. </w:t>
      </w:r>
      <w:r w:rsidRPr="00F90925">
        <w:rPr>
          <w:rFonts w:asciiTheme="minorHAnsi" w:hAnsiTheme="minorHAnsi"/>
          <w:sz w:val="18"/>
          <w:szCs w:val="18"/>
        </w:rPr>
        <w:t xml:space="preserve">Loose sleeves, tails, ties, lapels, cuffs, or other loose clothing which can be entangled in moving machinery shall not be worn. </w:t>
      </w:r>
    </w:p>
    <w:p w:rsidR="001410E9" w:rsidRPr="00F90925" w:rsidRDefault="001410E9" w:rsidP="00C7361C">
      <w:pPr>
        <w:pStyle w:val="EndnoteText"/>
        <w:rPr>
          <w:rFonts w:asciiTheme="minorHAnsi" w:hAnsiTheme="minorHAnsi"/>
          <w:sz w:val="18"/>
          <w:szCs w:val="18"/>
        </w:rPr>
      </w:pPr>
    </w:p>
  </w:endnote>
  <w:endnote w:id="3">
    <w:p w:rsidR="001410E9" w:rsidRPr="00F90925" w:rsidRDefault="001410E9">
      <w:pPr>
        <w:pStyle w:val="EndnoteText"/>
        <w:rPr>
          <w:rFonts w:asciiTheme="minorHAnsi" w:hAnsiTheme="minorHAnsi"/>
          <w:sz w:val="18"/>
          <w:szCs w:val="18"/>
        </w:rPr>
      </w:pPr>
      <w:r w:rsidRPr="00F90925">
        <w:rPr>
          <w:rStyle w:val="EndnoteReference"/>
          <w:rFonts w:asciiTheme="minorHAnsi" w:hAnsiTheme="minorHAnsi"/>
          <w:sz w:val="18"/>
          <w:szCs w:val="18"/>
        </w:rPr>
        <w:endnoteRef/>
      </w:r>
      <w:r w:rsidRPr="00F90925">
        <w:rPr>
          <w:rFonts w:asciiTheme="minorHAnsi" w:hAnsiTheme="minorHAnsi"/>
          <w:sz w:val="18"/>
          <w:szCs w:val="18"/>
        </w:rPr>
        <w:t xml:space="preserve"> Articles have been published in </w:t>
      </w:r>
      <w:r w:rsidRPr="00A61DF3">
        <w:rPr>
          <w:rFonts w:asciiTheme="minorHAnsi" w:hAnsiTheme="minorHAnsi"/>
          <w:b/>
          <w:i/>
          <w:sz w:val="18"/>
          <w:szCs w:val="18"/>
        </w:rPr>
        <w:t>Nature, Scientific American, Chemical and Engineering News, Campus Safety, Chemistry World, Science</w:t>
      </w:r>
      <w:r>
        <w:rPr>
          <w:rFonts w:asciiTheme="minorHAnsi" w:hAnsiTheme="minorHAnsi"/>
          <w:b/>
          <w:i/>
          <w:sz w:val="18"/>
          <w:szCs w:val="18"/>
        </w:rPr>
        <w:t xml:space="preserve"> </w:t>
      </w:r>
      <w:r w:rsidRPr="00A61DF3">
        <w:rPr>
          <w:rFonts w:asciiTheme="minorHAnsi" w:hAnsiTheme="minorHAnsi"/>
          <w:b/>
          <w:i/>
          <w:sz w:val="18"/>
          <w:szCs w:val="18"/>
        </w:rPr>
        <w:t xml:space="preserve">Insider, CBS New York, ABC Online, Los Angeles Times, USA Today, e! Science </w:t>
      </w:r>
      <w:proofErr w:type="gramStart"/>
      <w:r w:rsidRPr="00A61DF3">
        <w:rPr>
          <w:rFonts w:asciiTheme="minorHAnsi" w:hAnsiTheme="minorHAnsi"/>
          <w:b/>
          <w:i/>
          <w:sz w:val="18"/>
          <w:szCs w:val="18"/>
        </w:rPr>
        <w:t>News</w:t>
      </w:r>
      <w:r w:rsidRPr="00F90925">
        <w:rPr>
          <w:rFonts w:asciiTheme="minorHAnsi" w:hAnsiTheme="minorHAnsi"/>
          <w:sz w:val="18"/>
          <w:szCs w:val="18"/>
        </w:rPr>
        <w:t>,</w:t>
      </w:r>
      <w:proofErr w:type="gramEnd"/>
      <w:r w:rsidRPr="00F90925">
        <w:rPr>
          <w:rFonts w:asciiTheme="minorHAnsi" w:hAnsiTheme="minorHAnsi"/>
          <w:sz w:val="18"/>
          <w:szCs w:val="18"/>
        </w:rPr>
        <w:t xml:space="preserve"> and many others.</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E9" w:rsidRDefault="001410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E9" w:rsidRDefault="001410E9" w:rsidP="00DE112E">
    <w:pPr>
      <w:pStyle w:val="Footer"/>
      <w:jc w:val="center"/>
      <w:rPr>
        <w:sz w:val="22"/>
        <w:szCs w:val="22"/>
      </w:rPr>
    </w:pPr>
    <w:r>
      <w:rPr>
        <w:sz w:val="22"/>
        <w:szCs w:val="22"/>
      </w:rPr>
      <w:t>_______________________________________________________________</w:t>
    </w:r>
  </w:p>
  <w:p w:rsidR="001410E9" w:rsidRPr="00471274" w:rsidRDefault="001410E9" w:rsidP="00DE112E">
    <w:pPr>
      <w:pStyle w:val="Footer"/>
      <w:jc w:val="center"/>
      <w:rPr>
        <w:sz w:val="18"/>
        <w:szCs w:val="18"/>
      </w:rPr>
    </w:pPr>
    <w:r>
      <w:rPr>
        <w:sz w:val="18"/>
        <w:szCs w:val="18"/>
      </w:rPr>
      <w:t xml:space="preserve">John R. Weaver </w:t>
    </w:r>
    <w:r>
      <w:rPr>
        <w:sz w:val="18"/>
        <w:szCs w:val="18"/>
      </w:rPr>
      <w:sym w:font="Wingdings" w:char="F077"/>
    </w:r>
    <w:r>
      <w:rPr>
        <w:sz w:val="18"/>
        <w:szCs w:val="18"/>
      </w:rPr>
      <w:t xml:space="preserve"> Facility Manager, Birck Nanotechnology Center </w:t>
    </w:r>
    <w:r>
      <w:rPr>
        <w:sz w:val="18"/>
        <w:szCs w:val="18"/>
      </w:rPr>
      <w:sym w:font="Wingdings" w:char="F077"/>
    </w:r>
    <w:r>
      <w:rPr>
        <w:sz w:val="18"/>
        <w:szCs w:val="18"/>
      </w:rPr>
      <w:t xml:space="preserve"> MRGN236</w:t>
    </w:r>
    <w:r>
      <w:rPr>
        <w:sz w:val="18"/>
        <w:szCs w:val="18"/>
      </w:rPr>
      <w:br/>
      <w:t>Burton Morgan Entrepreneurship Center</w:t>
    </w:r>
    <w:r w:rsidRPr="00471274">
      <w:rPr>
        <w:sz w:val="18"/>
        <w:szCs w:val="18"/>
      </w:rPr>
      <w:t xml:space="preserve"> </w:t>
    </w:r>
    <w:r>
      <w:rPr>
        <w:sz w:val="18"/>
        <w:szCs w:val="18"/>
      </w:rPr>
      <w:sym w:font="Wingdings" w:char="F077"/>
    </w:r>
    <w:r w:rsidRPr="00471274">
      <w:rPr>
        <w:sz w:val="18"/>
        <w:szCs w:val="18"/>
      </w:rPr>
      <w:t xml:space="preserve"> </w:t>
    </w:r>
    <w:r>
      <w:rPr>
        <w:sz w:val="18"/>
        <w:szCs w:val="18"/>
      </w:rPr>
      <w:t>1201 West State Street</w:t>
    </w:r>
    <w:r w:rsidRPr="00471274">
      <w:rPr>
        <w:sz w:val="18"/>
        <w:szCs w:val="18"/>
      </w:rPr>
      <w:t xml:space="preserve"> </w:t>
    </w:r>
    <w:r>
      <w:rPr>
        <w:sz w:val="18"/>
        <w:szCs w:val="18"/>
      </w:rPr>
      <w:sym w:font="Wingdings" w:char="F077"/>
    </w:r>
    <w:r>
      <w:rPr>
        <w:sz w:val="18"/>
        <w:szCs w:val="18"/>
      </w:rPr>
      <w:t xml:space="preserve"> </w:t>
    </w:r>
    <w:r w:rsidRPr="00471274">
      <w:rPr>
        <w:sz w:val="18"/>
        <w:szCs w:val="18"/>
      </w:rPr>
      <w:t>West Lafayette, IN  47907-20</w:t>
    </w:r>
    <w:r>
      <w:rPr>
        <w:sz w:val="18"/>
        <w:szCs w:val="18"/>
      </w:rPr>
      <w:t>57</w:t>
    </w:r>
    <w:r>
      <w:rPr>
        <w:sz w:val="18"/>
        <w:szCs w:val="18"/>
      </w:rPr>
      <w:br/>
      <w:t xml:space="preserve">(765) 494-5494 </w:t>
    </w:r>
    <w:r>
      <w:rPr>
        <w:sz w:val="18"/>
        <w:szCs w:val="18"/>
      </w:rPr>
      <w:sym w:font="Wingdings" w:char="F077"/>
    </w:r>
    <w:r>
      <w:rPr>
        <w:sz w:val="18"/>
        <w:szCs w:val="18"/>
      </w:rPr>
      <w:t xml:space="preserve"> jrweaver@purdue.edu</w:t>
    </w:r>
  </w:p>
  <w:p w:rsidR="001410E9" w:rsidRPr="00DE112E" w:rsidRDefault="001410E9" w:rsidP="00DE112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E9" w:rsidRPr="00D053B2" w:rsidRDefault="001410E9" w:rsidP="00EA651D">
    <w:pPr>
      <w:pStyle w:val="Footer"/>
      <w:jc w:val="center"/>
      <w:rPr>
        <w:color w:val="FFCC00"/>
        <w:sz w:val="22"/>
        <w:szCs w:val="22"/>
      </w:rPr>
    </w:pPr>
    <w:r w:rsidRPr="00D053B2">
      <w:rPr>
        <w:color w:val="FFCC00"/>
        <w:sz w:val="22"/>
        <w:szCs w:val="22"/>
      </w:rPr>
      <w:t>_______________________________________________________________</w:t>
    </w:r>
  </w:p>
  <w:p w:rsidR="001410E9" w:rsidRPr="00EA651D" w:rsidRDefault="001410E9" w:rsidP="00EA651D">
    <w:pPr>
      <w:pStyle w:val="Footer"/>
      <w:jc w:val="center"/>
      <w:rPr>
        <w:sz w:val="18"/>
        <w:szCs w:val="18"/>
      </w:rPr>
    </w:pPr>
    <w:r>
      <w:rPr>
        <w:sz w:val="18"/>
        <w:szCs w:val="18"/>
      </w:rPr>
      <w:t xml:space="preserve">John R. Weaver </w:t>
    </w:r>
    <w:r>
      <w:rPr>
        <w:sz w:val="18"/>
        <w:szCs w:val="18"/>
      </w:rPr>
      <w:sym w:font="Wingdings" w:char="F077"/>
    </w:r>
    <w:r>
      <w:rPr>
        <w:sz w:val="18"/>
        <w:szCs w:val="18"/>
      </w:rPr>
      <w:t xml:space="preserve"> Facility Manager, Birck Nanotechnology Center </w:t>
    </w:r>
    <w:r>
      <w:rPr>
        <w:sz w:val="18"/>
        <w:szCs w:val="18"/>
      </w:rPr>
      <w:sym w:font="Wingdings" w:char="F077"/>
    </w:r>
    <w:r>
      <w:rPr>
        <w:sz w:val="18"/>
        <w:szCs w:val="18"/>
      </w:rPr>
      <w:t xml:space="preserve"> BRK 1025</w:t>
    </w:r>
    <w:r>
      <w:rPr>
        <w:sz w:val="18"/>
        <w:szCs w:val="18"/>
      </w:rPr>
      <w:br/>
      <w:t xml:space="preserve">(765) 494-5494 </w:t>
    </w:r>
    <w:r>
      <w:rPr>
        <w:sz w:val="18"/>
        <w:szCs w:val="18"/>
      </w:rPr>
      <w:sym w:font="Wingdings" w:char="F077"/>
    </w:r>
    <w:r>
      <w:rPr>
        <w:sz w:val="18"/>
        <w:szCs w:val="18"/>
      </w:rPr>
      <w:t xml:space="preserve"> jrweaver@purdue.edu</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10E9" w:rsidRDefault="001410E9">
      <w:r>
        <w:separator/>
      </w:r>
    </w:p>
  </w:footnote>
  <w:footnote w:type="continuationSeparator" w:id="0">
    <w:p w:rsidR="001410E9" w:rsidRDefault="001410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E9" w:rsidRDefault="001410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E9" w:rsidRDefault="001410E9">
    <w:pPr>
      <w:pStyle w:val="Header"/>
    </w:pP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BD619D">
      <w:rPr>
        <w:rStyle w:val="PageNumber"/>
        <w:noProof/>
      </w:rPr>
      <w:t>3</w:t>
    </w:r>
    <w:r>
      <w:rPr>
        <w:rStyle w:val="PageNumber"/>
      </w:rPr>
      <w:fldChar w:fldCharType="end"/>
    </w:r>
  </w:p>
  <w:p w:rsidR="001410E9" w:rsidRDefault="001410E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E9" w:rsidRPr="002767FF" w:rsidRDefault="001410E9" w:rsidP="00606C48">
    <w:pPr>
      <w:pStyle w:val="Header"/>
      <w:tabs>
        <w:tab w:val="clear" w:pos="4320"/>
        <w:tab w:val="clear" w:pos="8640"/>
        <w:tab w:val="right" w:pos="9360"/>
      </w:tabs>
      <w:rPr>
        <w:rFonts w:ascii="Arial Black" w:hAnsi="Arial Black"/>
        <w:sz w:val="28"/>
        <w:szCs w:val="28"/>
      </w:rPr>
    </w:pPr>
    <w:r>
      <w:rPr>
        <w:noProof/>
      </w:rPr>
      <w:drawing>
        <wp:anchor distT="0" distB="0" distL="114300" distR="114300" simplePos="0" relativeHeight="251657728" behindDoc="0" locked="0" layoutInCell="1" allowOverlap="1">
          <wp:simplePos x="0" y="0"/>
          <wp:positionH relativeFrom="column">
            <wp:posOffset>-62865</wp:posOffset>
          </wp:positionH>
          <wp:positionV relativeFrom="page">
            <wp:posOffset>459740</wp:posOffset>
          </wp:positionV>
          <wp:extent cx="1651635" cy="488950"/>
          <wp:effectExtent l="19050" t="0" r="5715" b="0"/>
          <wp:wrapSquare wrapText="bothSides"/>
          <wp:docPr id="5" name="Picture 5" descr="DP_Purdue13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P_Purdue132F"/>
                  <pic:cNvPicPr>
                    <a:picLocks noChangeAspect="1" noChangeArrowheads="1"/>
                  </pic:cNvPicPr>
                </pic:nvPicPr>
                <pic:blipFill>
                  <a:blip r:embed="rId1"/>
                  <a:srcRect/>
                  <a:stretch>
                    <a:fillRect/>
                  </a:stretch>
                </pic:blipFill>
                <pic:spPr bwMode="auto">
                  <a:xfrm>
                    <a:off x="0" y="0"/>
                    <a:ext cx="1651635" cy="488950"/>
                  </a:xfrm>
                  <a:prstGeom prst="rect">
                    <a:avLst/>
                  </a:prstGeom>
                  <a:noFill/>
                  <a:ln w="9525">
                    <a:noFill/>
                    <a:miter lim="800000"/>
                    <a:headEnd/>
                    <a:tailEnd/>
                  </a:ln>
                </pic:spPr>
              </pic:pic>
            </a:graphicData>
          </a:graphic>
        </wp:anchor>
      </w:drawing>
    </w:r>
    <w:r>
      <w:rPr>
        <w:rFonts w:ascii="Arial Black" w:hAnsi="Arial Black"/>
        <w:sz w:val="32"/>
        <w:szCs w:val="32"/>
      </w:rPr>
      <w:tab/>
    </w:r>
    <w:r w:rsidRPr="002767FF">
      <w:rPr>
        <w:rFonts w:ascii="Arial Black" w:hAnsi="Arial Black"/>
        <w:sz w:val="28"/>
        <w:szCs w:val="28"/>
      </w:rPr>
      <w:t>INTEROFFICE MEMORANDUM</w:t>
    </w:r>
  </w:p>
  <w:p w:rsidR="001410E9" w:rsidRPr="002767FF" w:rsidRDefault="001410E9" w:rsidP="0042420C">
    <w:pPr>
      <w:pStyle w:val="Header"/>
      <w:tabs>
        <w:tab w:val="clear" w:pos="8640"/>
        <w:tab w:val="right" w:pos="9360"/>
      </w:tabs>
      <w:rPr>
        <w:rFonts w:ascii="Helvetica" w:hAnsi="Helvetica"/>
        <w:szCs w:val="24"/>
      </w:rPr>
    </w:pPr>
    <w:r>
      <w:tab/>
    </w:r>
    <w:r>
      <w:tab/>
    </w:r>
    <w:smartTag w:uri="urn:schemas-microsoft-com:office:smarttags" w:element="place">
      <w:smartTag w:uri="urn:schemas-microsoft-com:office:smarttags" w:element="PlaceName">
        <w:r w:rsidRPr="002767FF">
          <w:rPr>
            <w:rFonts w:ascii="Helvetica" w:hAnsi="Helvetica"/>
            <w:szCs w:val="24"/>
          </w:rPr>
          <w:t>Birck</w:t>
        </w:r>
      </w:smartTag>
      <w:r w:rsidRPr="002767FF">
        <w:rPr>
          <w:rFonts w:ascii="Helvetica" w:hAnsi="Helvetica"/>
          <w:szCs w:val="24"/>
        </w:rPr>
        <w:t xml:space="preserve"> </w:t>
      </w:r>
      <w:smartTag w:uri="urn:schemas-microsoft-com:office:smarttags" w:element="PlaceName">
        <w:r w:rsidRPr="002767FF">
          <w:rPr>
            <w:rFonts w:ascii="Helvetica" w:hAnsi="Helvetica"/>
            <w:szCs w:val="24"/>
          </w:rPr>
          <w:t>Nanotechnology</w:t>
        </w:r>
      </w:smartTag>
      <w:r w:rsidRPr="002767FF">
        <w:rPr>
          <w:rFonts w:ascii="Helvetica" w:hAnsi="Helvetica"/>
          <w:szCs w:val="24"/>
        </w:rPr>
        <w:t xml:space="preserve"> </w:t>
      </w:r>
      <w:smartTag w:uri="urn:schemas-microsoft-com:office:smarttags" w:element="PlaceType">
        <w:r w:rsidRPr="002767FF">
          <w:rPr>
            <w:rFonts w:ascii="Helvetica" w:hAnsi="Helvetica"/>
            <w:szCs w:val="24"/>
          </w:rPr>
          <w:t>Center</w:t>
        </w:r>
      </w:smartTag>
    </w:smartTag>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226CCA"/>
    <w:multiLevelType w:val="hybridMultilevel"/>
    <w:tmpl w:val="FBF22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CD1C2D"/>
    <w:multiLevelType w:val="hybridMultilevel"/>
    <w:tmpl w:val="E67A6232"/>
    <w:lvl w:ilvl="0" w:tplc="C5A4B680">
      <w:start w:val="1"/>
      <w:numFmt w:val="decimal"/>
      <w:lvlText w:val="%1)"/>
      <w:lvlJc w:val="left"/>
      <w:pPr>
        <w:tabs>
          <w:tab w:val="num" w:pos="630"/>
        </w:tabs>
        <w:ind w:left="630" w:hanging="360"/>
      </w:pPr>
      <w:rPr>
        <w:rFonts w:hint="default"/>
      </w:rPr>
    </w:lvl>
    <w:lvl w:ilvl="1" w:tplc="04090019">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
    <w:nsid w:val="64107F7D"/>
    <w:multiLevelType w:val="hybridMultilevel"/>
    <w:tmpl w:val="80D02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rsids>
    <w:rsidRoot w:val="00CF7F66"/>
    <w:rsid w:val="00013325"/>
    <w:rsid w:val="00026529"/>
    <w:rsid w:val="000B4C4D"/>
    <w:rsid w:val="000C108C"/>
    <w:rsid w:val="000F12BB"/>
    <w:rsid w:val="001410E9"/>
    <w:rsid w:val="0018109E"/>
    <w:rsid w:val="001E0938"/>
    <w:rsid w:val="0020135D"/>
    <w:rsid w:val="00223FCF"/>
    <w:rsid w:val="0025375D"/>
    <w:rsid w:val="002767FF"/>
    <w:rsid w:val="002B6AC3"/>
    <w:rsid w:val="003343DD"/>
    <w:rsid w:val="00397031"/>
    <w:rsid w:val="003C6C0B"/>
    <w:rsid w:val="00414B5C"/>
    <w:rsid w:val="0042420C"/>
    <w:rsid w:val="004B11EA"/>
    <w:rsid w:val="004C1D19"/>
    <w:rsid w:val="005057C1"/>
    <w:rsid w:val="005505A3"/>
    <w:rsid w:val="0056115B"/>
    <w:rsid w:val="005B2658"/>
    <w:rsid w:val="005B619A"/>
    <w:rsid w:val="006021E1"/>
    <w:rsid w:val="00606C48"/>
    <w:rsid w:val="0061461B"/>
    <w:rsid w:val="00661B9A"/>
    <w:rsid w:val="00680C9A"/>
    <w:rsid w:val="00715446"/>
    <w:rsid w:val="00782229"/>
    <w:rsid w:val="007900A6"/>
    <w:rsid w:val="0079559A"/>
    <w:rsid w:val="007A4CEB"/>
    <w:rsid w:val="007B1E74"/>
    <w:rsid w:val="008056F7"/>
    <w:rsid w:val="00806F95"/>
    <w:rsid w:val="00820696"/>
    <w:rsid w:val="008318A5"/>
    <w:rsid w:val="0089007C"/>
    <w:rsid w:val="00896D1B"/>
    <w:rsid w:val="009567B4"/>
    <w:rsid w:val="009B36F7"/>
    <w:rsid w:val="009B7160"/>
    <w:rsid w:val="009F239F"/>
    <w:rsid w:val="00A61DF3"/>
    <w:rsid w:val="00AB37E6"/>
    <w:rsid w:val="00AE0DD7"/>
    <w:rsid w:val="00B3744D"/>
    <w:rsid w:val="00B47D39"/>
    <w:rsid w:val="00B63C3D"/>
    <w:rsid w:val="00B9162C"/>
    <w:rsid w:val="00BC44CF"/>
    <w:rsid w:val="00BD619D"/>
    <w:rsid w:val="00C135AF"/>
    <w:rsid w:val="00C15EF8"/>
    <w:rsid w:val="00C51C70"/>
    <w:rsid w:val="00C7361C"/>
    <w:rsid w:val="00C845FD"/>
    <w:rsid w:val="00CB5EC3"/>
    <w:rsid w:val="00CC7AEE"/>
    <w:rsid w:val="00CF7F66"/>
    <w:rsid w:val="00D053B2"/>
    <w:rsid w:val="00D30E71"/>
    <w:rsid w:val="00D84B49"/>
    <w:rsid w:val="00D85EC7"/>
    <w:rsid w:val="00D90AE9"/>
    <w:rsid w:val="00D91F7E"/>
    <w:rsid w:val="00D9485F"/>
    <w:rsid w:val="00DA4CF5"/>
    <w:rsid w:val="00DE112E"/>
    <w:rsid w:val="00E137E9"/>
    <w:rsid w:val="00E215F9"/>
    <w:rsid w:val="00E3376A"/>
    <w:rsid w:val="00E769DD"/>
    <w:rsid w:val="00EA651D"/>
    <w:rsid w:val="00EC3B35"/>
    <w:rsid w:val="00EF1194"/>
    <w:rsid w:val="00F0174C"/>
    <w:rsid w:val="00F20176"/>
    <w:rsid w:val="00F47B93"/>
    <w:rsid w:val="00F90925"/>
    <w:rsid w:val="00FB73E4"/>
    <w:rsid w:val="00FD10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07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9007C"/>
    <w:pPr>
      <w:tabs>
        <w:tab w:val="center" w:pos="4320"/>
        <w:tab w:val="right" w:pos="8640"/>
      </w:tabs>
    </w:pPr>
  </w:style>
  <w:style w:type="paragraph" w:styleId="Footer">
    <w:name w:val="footer"/>
    <w:basedOn w:val="Normal"/>
    <w:rsid w:val="0089007C"/>
    <w:pPr>
      <w:tabs>
        <w:tab w:val="center" w:pos="4320"/>
        <w:tab w:val="right" w:pos="8640"/>
      </w:tabs>
    </w:pPr>
  </w:style>
  <w:style w:type="character" w:styleId="Hyperlink">
    <w:name w:val="Hyperlink"/>
    <w:basedOn w:val="DefaultParagraphFont"/>
    <w:rsid w:val="0089007C"/>
    <w:rPr>
      <w:color w:val="0000FF"/>
      <w:u w:val="single"/>
    </w:rPr>
  </w:style>
  <w:style w:type="character" w:styleId="FollowedHyperlink">
    <w:name w:val="FollowedHyperlink"/>
    <w:basedOn w:val="DefaultParagraphFont"/>
    <w:rsid w:val="0089007C"/>
    <w:rPr>
      <w:color w:val="800080"/>
      <w:u w:val="single"/>
    </w:rPr>
  </w:style>
  <w:style w:type="character" w:styleId="PageNumber">
    <w:name w:val="page number"/>
    <w:basedOn w:val="DefaultParagraphFont"/>
    <w:rsid w:val="00026529"/>
  </w:style>
  <w:style w:type="paragraph" w:styleId="ListParagraph">
    <w:name w:val="List Paragraph"/>
    <w:basedOn w:val="Normal"/>
    <w:uiPriority w:val="34"/>
    <w:qFormat/>
    <w:rsid w:val="00EC3B35"/>
    <w:pPr>
      <w:ind w:left="720"/>
      <w:contextualSpacing/>
    </w:pPr>
  </w:style>
  <w:style w:type="paragraph" w:styleId="EndnoteText">
    <w:name w:val="endnote text"/>
    <w:basedOn w:val="Normal"/>
    <w:link w:val="EndnoteTextChar"/>
    <w:rsid w:val="00806F95"/>
    <w:rPr>
      <w:sz w:val="20"/>
    </w:rPr>
  </w:style>
  <w:style w:type="character" w:customStyle="1" w:styleId="EndnoteTextChar">
    <w:name w:val="Endnote Text Char"/>
    <w:basedOn w:val="DefaultParagraphFont"/>
    <w:link w:val="EndnoteText"/>
    <w:rsid w:val="00806F95"/>
  </w:style>
  <w:style w:type="character" w:styleId="EndnoteReference">
    <w:name w:val="endnote reference"/>
    <w:basedOn w:val="DefaultParagraphFont"/>
    <w:rsid w:val="00806F95"/>
    <w:rPr>
      <w:vertAlign w:val="superscript"/>
    </w:rPr>
  </w:style>
  <w:style w:type="character" w:customStyle="1" w:styleId="apple-tab-span">
    <w:name w:val="apple-tab-span"/>
    <w:basedOn w:val="DefaultParagraphFont"/>
    <w:rsid w:val="00C7361C"/>
  </w:style>
</w:styles>
</file>

<file path=word/webSettings.xml><?xml version="1.0" encoding="utf-8"?>
<w:webSettings xmlns:r="http://schemas.openxmlformats.org/officeDocument/2006/relationships" xmlns:w="http://schemas.openxmlformats.org/wordprocessingml/2006/main">
  <w:divs>
    <w:div w:id="89798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D1DA5-7F14-4341-BEF1-910B1F2B1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4</Pages>
  <Words>1892</Words>
  <Characters>9932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lpstr>
    </vt:vector>
  </TitlesOfParts>
  <Company>ECE Purdue University</Company>
  <LinksUpToDate>false</LinksUpToDate>
  <CharactersWithSpaces>11801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jrweaver</dc:creator>
  <cp:keywords/>
  <cp:lastModifiedBy>jrweaver</cp:lastModifiedBy>
  <cp:revision>10</cp:revision>
  <cp:lastPrinted>2012-04-05T14:12:00Z</cp:lastPrinted>
  <dcterms:created xsi:type="dcterms:W3CDTF">2012-04-05T13:06:00Z</dcterms:created>
  <dcterms:modified xsi:type="dcterms:W3CDTF">2012-04-19T13:19:00Z</dcterms:modified>
</cp:coreProperties>
</file>