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4A07" w14:textId="3D429BB4" w:rsidR="00C80AE8" w:rsidRPr="00C80AE8" w:rsidRDefault="00C80AE8" w:rsidP="00C80AE8">
      <w:pPr>
        <w:spacing w:after="0" w:line="240" w:lineRule="auto"/>
        <w:rPr>
          <w:sz w:val="22"/>
          <w:szCs w:val="22"/>
        </w:rPr>
      </w:pPr>
      <w:r w:rsidRPr="00C80AE8">
        <w:rPr>
          <w:b/>
          <w:bCs/>
          <w:i/>
          <w:iCs/>
          <w:sz w:val="22"/>
          <w:szCs w:val="22"/>
        </w:rPr>
        <w:t>Foundation: Alzheimer’s Association</w:t>
      </w:r>
    </w:p>
    <w:p w14:paraId="0242A6F8" w14:textId="77777777" w:rsidR="00C80AE8" w:rsidRPr="00C80AE8" w:rsidRDefault="00C80AE8" w:rsidP="00C80AE8">
      <w:pPr>
        <w:spacing w:after="0" w:line="240" w:lineRule="auto"/>
        <w:rPr>
          <w:sz w:val="22"/>
          <w:szCs w:val="22"/>
        </w:rPr>
      </w:pPr>
      <w:r w:rsidRPr="00C80AE8">
        <w:rPr>
          <w:b/>
          <w:bCs/>
          <w:i/>
          <w:iCs/>
          <w:sz w:val="22"/>
          <w:szCs w:val="22"/>
        </w:rPr>
        <w:t>Grant: Health Services Research</w:t>
      </w:r>
    </w:p>
    <w:p w14:paraId="520C22F4" w14:textId="77777777" w:rsidR="00C80AE8" w:rsidRPr="00C80AE8" w:rsidRDefault="00C80AE8" w:rsidP="00C80AE8">
      <w:pPr>
        <w:numPr>
          <w:ilvl w:val="0"/>
          <w:numId w:val="2"/>
        </w:numPr>
        <w:spacing w:after="0" w:line="240" w:lineRule="auto"/>
        <w:rPr>
          <w:sz w:val="22"/>
          <w:szCs w:val="22"/>
        </w:rPr>
      </w:pPr>
      <w:r w:rsidRPr="00C80AE8">
        <w:rPr>
          <w:sz w:val="22"/>
          <w:szCs w:val="22"/>
        </w:rPr>
        <w:t xml:space="preserve">Website: </w:t>
      </w:r>
      <w:hyperlink r:id="rId5" w:history="1">
        <w:r w:rsidRPr="00C80AE8">
          <w:rPr>
            <w:rStyle w:val="Hyperlink"/>
            <w:sz w:val="22"/>
            <w:szCs w:val="22"/>
          </w:rPr>
          <w:t>https://www.alz.org/research/for_researchers/grants/types-of-grants/hsr-adrd</w:t>
        </w:r>
      </w:hyperlink>
      <w:r w:rsidRPr="00C80AE8">
        <w:rPr>
          <w:sz w:val="22"/>
          <w:szCs w:val="22"/>
        </w:rPr>
        <w:t xml:space="preserve"> </w:t>
      </w:r>
    </w:p>
    <w:p w14:paraId="36A5C096" w14:textId="77777777" w:rsidR="00C80AE8" w:rsidRPr="00C80AE8" w:rsidRDefault="00C80AE8" w:rsidP="00C80AE8">
      <w:pPr>
        <w:numPr>
          <w:ilvl w:val="0"/>
          <w:numId w:val="2"/>
        </w:numPr>
        <w:spacing w:after="0" w:line="240" w:lineRule="auto"/>
        <w:rPr>
          <w:sz w:val="22"/>
          <w:szCs w:val="22"/>
        </w:rPr>
      </w:pPr>
      <w:r w:rsidRPr="00C80AE8">
        <w:rPr>
          <w:sz w:val="22"/>
          <w:szCs w:val="22"/>
        </w:rPr>
        <w:t>Deadline: May 6</w:t>
      </w:r>
    </w:p>
    <w:p w14:paraId="0FDA1216" w14:textId="77777777" w:rsidR="00C80AE8" w:rsidRPr="00C80AE8" w:rsidRDefault="00C80AE8" w:rsidP="00C80AE8">
      <w:pPr>
        <w:numPr>
          <w:ilvl w:val="0"/>
          <w:numId w:val="2"/>
        </w:numPr>
        <w:spacing w:after="0" w:line="240" w:lineRule="auto"/>
        <w:rPr>
          <w:sz w:val="22"/>
          <w:szCs w:val="22"/>
        </w:rPr>
      </w:pPr>
      <w:r w:rsidRPr="00C80AE8">
        <w:rPr>
          <w:sz w:val="22"/>
          <w:szCs w:val="22"/>
        </w:rPr>
        <w:t>Amount: Up to $250,000</w:t>
      </w:r>
    </w:p>
    <w:p w14:paraId="3BF4966E" w14:textId="77777777" w:rsidR="00C80AE8" w:rsidRPr="00C80AE8" w:rsidRDefault="00C80AE8" w:rsidP="00C80AE8">
      <w:pPr>
        <w:numPr>
          <w:ilvl w:val="0"/>
          <w:numId w:val="2"/>
        </w:numPr>
        <w:spacing w:after="0" w:line="240" w:lineRule="auto"/>
        <w:rPr>
          <w:sz w:val="22"/>
          <w:szCs w:val="22"/>
        </w:rPr>
      </w:pPr>
      <w:r w:rsidRPr="00C80AE8">
        <w:rPr>
          <w:sz w:val="22"/>
          <w:szCs w:val="22"/>
        </w:rPr>
        <w:t xml:space="preserve">Overview: The HSR-ADRD program seeks to support research that strengthens dementia detection, diagnosis, and post-diagnostic care pathways along the care continuum. Projects may address a range of health services research questions, including, but not limited to, studies examining barriers and solutions to timely access, quality, and care coordination. By supporting rigorous and innovative research, this program aims to generate actionable evidence to improve person-centered, coordinated, and equitable brain health and dementia </w:t>
      </w:r>
      <w:proofErr w:type="gramStart"/>
      <w:r w:rsidRPr="00C80AE8">
        <w:rPr>
          <w:sz w:val="22"/>
          <w:szCs w:val="22"/>
        </w:rPr>
        <w:t>care.(</w:t>
      </w:r>
      <w:proofErr w:type="gramEnd"/>
      <w:r w:rsidRPr="00C80AE8">
        <w:rPr>
          <w:sz w:val="22"/>
          <w:szCs w:val="22"/>
        </w:rPr>
        <w:t>HSR) studies are defined as how health care is delivered, accessed, financed, and experienced, and identifies evidence-based strategies to improve care systems, outcomes, and equity.</w:t>
      </w:r>
    </w:p>
    <w:p w14:paraId="313BDBE5" w14:textId="77777777" w:rsidR="00C80AE8" w:rsidRPr="00C80AE8" w:rsidRDefault="00C80AE8" w:rsidP="00C80AE8">
      <w:pPr>
        <w:numPr>
          <w:ilvl w:val="0"/>
          <w:numId w:val="2"/>
        </w:numPr>
        <w:spacing w:after="0" w:line="240" w:lineRule="auto"/>
        <w:rPr>
          <w:sz w:val="22"/>
          <w:szCs w:val="22"/>
        </w:rPr>
      </w:pPr>
      <w:r w:rsidRPr="00C80AE8">
        <w:rPr>
          <w:sz w:val="22"/>
          <w:szCs w:val="22"/>
        </w:rPr>
        <w:t>Eligibility:</w:t>
      </w:r>
    </w:p>
    <w:p w14:paraId="606FA32D" w14:textId="77777777" w:rsidR="00C80AE8" w:rsidRPr="00C80AE8" w:rsidRDefault="00C80AE8" w:rsidP="00C80AE8">
      <w:pPr>
        <w:numPr>
          <w:ilvl w:val="1"/>
          <w:numId w:val="2"/>
        </w:numPr>
        <w:spacing w:after="0" w:line="240" w:lineRule="auto"/>
        <w:rPr>
          <w:sz w:val="22"/>
          <w:szCs w:val="22"/>
        </w:rPr>
      </w:pPr>
      <w:r w:rsidRPr="00C80AE8">
        <w:rPr>
          <w:sz w:val="22"/>
          <w:szCs w:val="22"/>
        </w:rPr>
        <w:t xml:space="preserve">Applicants can </w:t>
      </w:r>
      <w:proofErr w:type="gramStart"/>
      <w:r w:rsidRPr="00C80AE8">
        <w:rPr>
          <w:sz w:val="22"/>
          <w:szCs w:val="22"/>
        </w:rPr>
        <w:t>be</w:t>
      </w:r>
      <w:proofErr w:type="gramEnd"/>
      <w:r w:rsidRPr="00C80AE8">
        <w:rPr>
          <w:sz w:val="22"/>
          <w:szCs w:val="22"/>
        </w:rPr>
        <w:t xml:space="preserve"> any career level, including postdoctoral fellow but must hold a full-time position at the time of the grant application submission at an academic institution.</w:t>
      </w:r>
    </w:p>
    <w:p w14:paraId="35D3DE06" w14:textId="77777777" w:rsidR="00C80AE8" w:rsidRPr="00C80AE8" w:rsidRDefault="00C80AE8" w:rsidP="00C80AE8">
      <w:pPr>
        <w:numPr>
          <w:ilvl w:val="1"/>
          <w:numId w:val="2"/>
        </w:numPr>
        <w:spacing w:after="0" w:line="240" w:lineRule="auto"/>
        <w:rPr>
          <w:sz w:val="22"/>
          <w:szCs w:val="22"/>
        </w:rPr>
      </w:pPr>
      <w:r w:rsidRPr="00C80AE8">
        <w:rPr>
          <w:sz w:val="22"/>
          <w:szCs w:val="22"/>
        </w:rPr>
        <w:t>International applicants are welcome.</w:t>
      </w:r>
    </w:p>
    <w:p w14:paraId="1BF95C81" w14:textId="77777777" w:rsidR="00C80AE8" w:rsidRPr="00C80AE8" w:rsidRDefault="00C80AE8" w:rsidP="00C80AE8">
      <w:pPr>
        <w:numPr>
          <w:ilvl w:val="1"/>
          <w:numId w:val="2"/>
        </w:numPr>
        <w:spacing w:after="0" w:line="240" w:lineRule="auto"/>
        <w:rPr>
          <w:sz w:val="22"/>
          <w:szCs w:val="22"/>
        </w:rPr>
      </w:pPr>
      <w:r w:rsidRPr="00C80AE8">
        <w:rPr>
          <w:sz w:val="22"/>
          <w:szCs w:val="22"/>
        </w:rPr>
        <w:t>Individuals currently enrolled as a student in an undergraduate, master, or doctoral program are not eligible, regardless of prior degree status.</w:t>
      </w:r>
    </w:p>
    <w:p w14:paraId="485E8FEA" w14:textId="77777777" w:rsidR="00C80AE8" w:rsidRPr="00C80AE8" w:rsidRDefault="00C80AE8" w:rsidP="00C80AE8">
      <w:pPr>
        <w:numPr>
          <w:ilvl w:val="1"/>
          <w:numId w:val="2"/>
        </w:numPr>
        <w:spacing w:after="0" w:line="240" w:lineRule="auto"/>
        <w:rPr>
          <w:sz w:val="22"/>
          <w:szCs w:val="22"/>
        </w:rPr>
      </w:pPr>
      <w:r w:rsidRPr="00C80AE8">
        <w:rPr>
          <w:sz w:val="22"/>
          <w:szCs w:val="22"/>
        </w:rPr>
        <w:t>Applicants CANNOT submit more than one proposal to any of the programs in the current grant competition—even if the proposals cover distinctly different topics (i.e., only one application is allowed regardless of the distinct areas of focus).</w:t>
      </w:r>
    </w:p>
    <w:p w14:paraId="6EC3CFAF" w14:textId="77777777" w:rsidR="00C80AE8" w:rsidRPr="00C80AE8" w:rsidRDefault="00C80AE8" w:rsidP="00C80AE8">
      <w:pPr>
        <w:spacing w:after="0" w:line="240" w:lineRule="auto"/>
        <w:rPr>
          <w:sz w:val="22"/>
          <w:szCs w:val="22"/>
        </w:rPr>
      </w:pPr>
      <w:r w:rsidRPr="00C80AE8">
        <w:rPr>
          <w:sz w:val="22"/>
          <w:szCs w:val="22"/>
        </w:rPr>
        <w:t> </w:t>
      </w:r>
    </w:p>
    <w:p w14:paraId="690357F2" w14:textId="77777777" w:rsidR="00C80AE8" w:rsidRPr="00C80AE8" w:rsidRDefault="00C80AE8" w:rsidP="00C80AE8">
      <w:pPr>
        <w:spacing w:after="0" w:line="240" w:lineRule="auto"/>
        <w:rPr>
          <w:sz w:val="22"/>
          <w:szCs w:val="22"/>
        </w:rPr>
      </w:pPr>
      <w:r w:rsidRPr="00C80AE8">
        <w:rPr>
          <w:b/>
          <w:bCs/>
          <w:i/>
          <w:iCs/>
          <w:sz w:val="22"/>
          <w:szCs w:val="22"/>
        </w:rPr>
        <w:t>Foundation: Alzheimer’s Drug Discovery Foundation</w:t>
      </w:r>
    </w:p>
    <w:p w14:paraId="4051C3FE" w14:textId="77777777" w:rsidR="00C80AE8" w:rsidRPr="00C80AE8" w:rsidRDefault="00C80AE8" w:rsidP="00C80AE8">
      <w:pPr>
        <w:spacing w:after="0" w:line="240" w:lineRule="auto"/>
        <w:rPr>
          <w:sz w:val="22"/>
          <w:szCs w:val="22"/>
        </w:rPr>
      </w:pPr>
      <w:r w:rsidRPr="00C80AE8">
        <w:rPr>
          <w:b/>
          <w:bCs/>
          <w:i/>
          <w:iCs/>
          <w:sz w:val="22"/>
          <w:szCs w:val="22"/>
        </w:rPr>
        <w:t>Grant: ADDF-Harrington Scholar Program</w:t>
      </w:r>
    </w:p>
    <w:p w14:paraId="1BD8C264" w14:textId="77777777" w:rsidR="00C80AE8" w:rsidRPr="00C80AE8" w:rsidRDefault="00C80AE8" w:rsidP="00C80AE8">
      <w:pPr>
        <w:numPr>
          <w:ilvl w:val="0"/>
          <w:numId w:val="3"/>
        </w:numPr>
        <w:spacing w:after="0" w:line="240" w:lineRule="auto"/>
        <w:rPr>
          <w:sz w:val="22"/>
          <w:szCs w:val="22"/>
        </w:rPr>
      </w:pPr>
      <w:r w:rsidRPr="00C80AE8">
        <w:rPr>
          <w:sz w:val="22"/>
          <w:szCs w:val="22"/>
        </w:rPr>
        <w:t xml:space="preserve">Website: </w:t>
      </w:r>
      <w:hyperlink r:id="rId6" w:history="1">
        <w:r w:rsidRPr="00C80AE8">
          <w:rPr>
            <w:rStyle w:val="Hyperlink"/>
            <w:sz w:val="22"/>
            <w:szCs w:val="22"/>
          </w:rPr>
          <w:t>http://www.alzdiscovery.org/research-and-grants/funding-opportunities/harrington</w:t>
        </w:r>
      </w:hyperlink>
      <w:r w:rsidRPr="00C80AE8">
        <w:rPr>
          <w:sz w:val="22"/>
          <w:szCs w:val="22"/>
        </w:rPr>
        <w:t xml:space="preserve"> </w:t>
      </w:r>
    </w:p>
    <w:p w14:paraId="65A62502" w14:textId="77777777" w:rsidR="00C80AE8" w:rsidRPr="00C80AE8" w:rsidRDefault="00C80AE8" w:rsidP="00C80AE8">
      <w:pPr>
        <w:numPr>
          <w:ilvl w:val="0"/>
          <w:numId w:val="3"/>
        </w:numPr>
        <w:spacing w:after="0" w:line="240" w:lineRule="auto"/>
        <w:rPr>
          <w:sz w:val="22"/>
          <w:szCs w:val="22"/>
        </w:rPr>
      </w:pPr>
      <w:r w:rsidRPr="00C80AE8">
        <w:rPr>
          <w:sz w:val="22"/>
          <w:szCs w:val="22"/>
        </w:rPr>
        <w:t>Deadline: LOI due June 1</w:t>
      </w:r>
    </w:p>
    <w:p w14:paraId="31E69DC9" w14:textId="77777777" w:rsidR="00C80AE8" w:rsidRPr="00C80AE8" w:rsidRDefault="00C80AE8" w:rsidP="00C80AE8">
      <w:pPr>
        <w:numPr>
          <w:ilvl w:val="0"/>
          <w:numId w:val="3"/>
        </w:numPr>
        <w:spacing w:after="0" w:line="240" w:lineRule="auto"/>
        <w:rPr>
          <w:sz w:val="22"/>
          <w:szCs w:val="22"/>
        </w:rPr>
      </w:pPr>
      <w:r w:rsidRPr="00C80AE8">
        <w:rPr>
          <w:sz w:val="22"/>
          <w:szCs w:val="22"/>
        </w:rPr>
        <w:t>Amount: Up to $600,000</w:t>
      </w:r>
    </w:p>
    <w:p w14:paraId="773FFC9C" w14:textId="77777777" w:rsidR="00C80AE8" w:rsidRPr="00C80AE8" w:rsidRDefault="00C80AE8" w:rsidP="00C80AE8">
      <w:pPr>
        <w:numPr>
          <w:ilvl w:val="0"/>
          <w:numId w:val="3"/>
        </w:numPr>
        <w:spacing w:after="0" w:line="240" w:lineRule="auto"/>
        <w:rPr>
          <w:sz w:val="22"/>
          <w:szCs w:val="22"/>
        </w:rPr>
      </w:pPr>
      <w:r w:rsidRPr="00C80AE8">
        <w:rPr>
          <w:sz w:val="22"/>
          <w:szCs w:val="22"/>
        </w:rPr>
        <w:t>Overview: The ADDF-Harrington Scholar Program is dedicated to advancing academic discoveries into medicines for Alzheimer’s disease and related dementias. This award provides funding and project support by a team of pharmaceutical industry experts through a collaboration with the Alzheimer’s Drug Discovery Foundation (ADDF) and the Brain Health Medicines Centers of the Harrington Discovery Institute. This is a special funding opportunity separate from ADDF’s Therapeutic Funding Programs.</w:t>
      </w:r>
    </w:p>
    <w:p w14:paraId="6CCAEFA5" w14:textId="77777777" w:rsidR="00C80AE8" w:rsidRPr="00C80AE8" w:rsidRDefault="00C80AE8" w:rsidP="00C80AE8">
      <w:pPr>
        <w:spacing w:after="0" w:line="240" w:lineRule="auto"/>
        <w:rPr>
          <w:sz w:val="22"/>
          <w:szCs w:val="22"/>
        </w:rPr>
      </w:pPr>
      <w:r w:rsidRPr="00C80AE8">
        <w:rPr>
          <w:sz w:val="22"/>
          <w:szCs w:val="22"/>
        </w:rPr>
        <w:t>The 2026 ADDF-Harrington Scholar RFP places high priority on targets related to emerging therapeutic areas for dementia, particularly:</w:t>
      </w:r>
    </w:p>
    <w:p w14:paraId="40587A43" w14:textId="77777777" w:rsidR="00C80AE8" w:rsidRPr="00C80AE8" w:rsidRDefault="00C80AE8" w:rsidP="00C80AE8">
      <w:pPr>
        <w:numPr>
          <w:ilvl w:val="1"/>
          <w:numId w:val="4"/>
        </w:numPr>
        <w:spacing w:after="0" w:line="240" w:lineRule="auto"/>
        <w:rPr>
          <w:sz w:val="22"/>
          <w:szCs w:val="22"/>
        </w:rPr>
      </w:pPr>
      <w:proofErr w:type="spellStart"/>
      <w:r w:rsidRPr="00C80AE8">
        <w:rPr>
          <w:sz w:val="22"/>
          <w:szCs w:val="22"/>
        </w:rPr>
        <w:t>Proteostasis</w:t>
      </w:r>
      <w:proofErr w:type="spellEnd"/>
      <w:r w:rsidRPr="00C80AE8">
        <w:rPr>
          <w:sz w:val="22"/>
          <w:szCs w:val="22"/>
        </w:rPr>
        <w:t xml:space="preserve"> (including autophagy, lysosomal biogenesis, proteasomal degradation, post-translational modification associated with </w:t>
      </w:r>
      <w:proofErr w:type="spellStart"/>
      <w:r w:rsidRPr="00C80AE8">
        <w:rPr>
          <w:sz w:val="22"/>
          <w:szCs w:val="22"/>
        </w:rPr>
        <w:t>proteostasis</w:t>
      </w:r>
      <w:proofErr w:type="spellEnd"/>
      <w:r w:rsidRPr="00C80AE8">
        <w:rPr>
          <w:sz w:val="22"/>
          <w:szCs w:val="22"/>
        </w:rPr>
        <w:t>, protein folding/misfolding, ER stress, extracellular clearance)</w:t>
      </w:r>
    </w:p>
    <w:p w14:paraId="1D5736C8" w14:textId="77777777" w:rsidR="00C80AE8" w:rsidRPr="00C80AE8" w:rsidRDefault="00C80AE8" w:rsidP="00C80AE8">
      <w:pPr>
        <w:numPr>
          <w:ilvl w:val="1"/>
          <w:numId w:val="4"/>
        </w:numPr>
        <w:spacing w:after="0" w:line="240" w:lineRule="auto"/>
        <w:rPr>
          <w:sz w:val="22"/>
          <w:szCs w:val="22"/>
        </w:rPr>
      </w:pPr>
      <w:r w:rsidRPr="00C80AE8">
        <w:rPr>
          <w:sz w:val="22"/>
          <w:szCs w:val="22"/>
        </w:rPr>
        <w:t>Senescence (including cells that have halted division, shifted towards a secretory phenotype, altered morphology and epigenetics, and decreased apoptosis)</w:t>
      </w:r>
    </w:p>
    <w:p w14:paraId="35DD5359" w14:textId="77777777" w:rsidR="00C80AE8" w:rsidRPr="00C80AE8" w:rsidRDefault="00C80AE8" w:rsidP="00C80AE8">
      <w:pPr>
        <w:spacing w:after="0" w:line="240" w:lineRule="auto"/>
        <w:rPr>
          <w:sz w:val="22"/>
          <w:szCs w:val="22"/>
        </w:rPr>
      </w:pPr>
      <w:r w:rsidRPr="00C80AE8">
        <w:rPr>
          <w:sz w:val="22"/>
          <w:szCs w:val="22"/>
        </w:rPr>
        <w:t>Other novel targets are encouraged. These include, but are not limited to:</w:t>
      </w:r>
    </w:p>
    <w:p w14:paraId="06D35C1F" w14:textId="77777777" w:rsidR="00C80AE8" w:rsidRPr="00C80AE8" w:rsidRDefault="00C80AE8" w:rsidP="00C80AE8">
      <w:pPr>
        <w:numPr>
          <w:ilvl w:val="1"/>
          <w:numId w:val="5"/>
        </w:numPr>
        <w:spacing w:after="0" w:line="240" w:lineRule="auto"/>
        <w:rPr>
          <w:sz w:val="22"/>
          <w:szCs w:val="22"/>
        </w:rPr>
      </w:pPr>
      <w:r w:rsidRPr="00C80AE8">
        <w:rPr>
          <w:sz w:val="22"/>
          <w:szCs w:val="22"/>
        </w:rPr>
        <w:t>Epigenetics</w:t>
      </w:r>
    </w:p>
    <w:p w14:paraId="7581BC1E" w14:textId="77777777" w:rsidR="00C80AE8" w:rsidRPr="00C80AE8" w:rsidRDefault="00C80AE8" w:rsidP="00C80AE8">
      <w:pPr>
        <w:numPr>
          <w:ilvl w:val="1"/>
          <w:numId w:val="5"/>
        </w:numPr>
        <w:spacing w:after="0" w:line="240" w:lineRule="auto"/>
        <w:rPr>
          <w:sz w:val="22"/>
          <w:szCs w:val="22"/>
        </w:rPr>
      </w:pPr>
      <w:r w:rsidRPr="00C80AE8">
        <w:rPr>
          <w:sz w:val="22"/>
          <w:szCs w:val="22"/>
        </w:rPr>
        <w:t>Vascular pathology</w:t>
      </w:r>
    </w:p>
    <w:p w14:paraId="0D1AC735" w14:textId="77777777" w:rsidR="00C80AE8" w:rsidRPr="00C80AE8" w:rsidRDefault="00C80AE8" w:rsidP="00C80AE8">
      <w:pPr>
        <w:numPr>
          <w:ilvl w:val="1"/>
          <w:numId w:val="5"/>
        </w:numPr>
        <w:spacing w:after="0" w:line="240" w:lineRule="auto"/>
        <w:rPr>
          <w:sz w:val="22"/>
          <w:szCs w:val="22"/>
        </w:rPr>
      </w:pPr>
      <w:r w:rsidRPr="00C80AE8">
        <w:rPr>
          <w:sz w:val="22"/>
          <w:szCs w:val="22"/>
        </w:rPr>
        <w:t>Neuroprotection</w:t>
      </w:r>
    </w:p>
    <w:p w14:paraId="5758FCEA" w14:textId="77777777" w:rsidR="00C80AE8" w:rsidRPr="00C80AE8" w:rsidRDefault="00C80AE8" w:rsidP="00C80AE8">
      <w:pPr>
        <w:numPr>
          <w:ilvl w:val="1"/>
          <w:numId w:val="5"/>
        </w:numPr>
        <w:spacing w:after="0" w:line="240" w:lineRule="auto"/>
        <w:rPr>
          <w:sz w:val="22"/>
          <w:szCs w:val="22"/>
        </w:rPr>
      </w:pPr>
      <w:r w:rsidRPr="00C80AE8">
        <w:rPr>
          <w:sz w:val="22"/>
          <w:szCs w:val="22"/>
        </w:rPr>
        <w:lastRenderedPageBreak/>
        <w:t>Synaptic activity and neurotransmitters</w:t>
      </w:r>
    </w:p>
    <w:p w14:paraId="0BEB93D9" w14:textId="77777777" w:rsidR="00C80AE8" w:rsidRPr="00C80AE8" w:rsidRDefault="00C80AE8" w:rsidP="00C80AE8">
      <w:pPr>
        <w:numPr>
          <w:ilvl w:val="1"/>
          <w:numId w:val="5"/>
        </w:numPr>
        <w:spacing w:after="0" w:line="240" w:lineRule="auto"/>
        <w:rPr>
          <w:sz w:val="22"/>
          <w:szCs w:val="22"/>
        </w:rPr>
      </w:pPr>
      <w:r w:rsidRPr="00C80AE8">
        <w:rPr>
          <w:sz w:val="22"/>
          <w:szCs w:val="22"/>
        </w:rPr>
        <w:t>Inflammation</w:t>
      </w:r>
    </w:p>
    <w:p w14:paraId="6793A274" w14:textId="77777777" w:rsidR="00C80AE8" w:rsidRPr="00C80AE8" w:rsidRDefault="00C80AE8" w:rsidP="00C80AE8">
      <w:pPr>
        <w:numPr>
          <w:ilvl w:val="1"/>
          <w:numId w:val="5"/>
        </w:numPr>
        <w:spacing w:after="0" w:line="240" w:lineRule="auto"/>
        <w:rPr>
          <w:sz w:val="22"/>
          <w:szCs w:val="22"/>
        </w:rPr>
      </w:pPr>
      <w:r w:rsidRPr="00C80AE8">
        <w:rPr>
          <w:sz w:val="22"/>
          <w:szCs w:val="22"/>
        </w:rPr>
        <w:t>Mitochondrial health</w:t>
      </w:r>
    </w:p>
    <w:p w14:paraId="25CC25F1" w14:textId="77777777" w:rsidR="00C80AE8" w:rsidRPr="00C80AE8" w:rsidRDefault="00C80AE8" w:rsidP="00C80AE8">
      <w:pPr>
        <w:numPr>
          <w:ilvl w:val="1"/>
          <w:numId w:val="5"/>
        </w:numPr>
        <w:spacing w:after="0" w:line="240" w:lineRule="auto"/>
        <w:rPr>
          <w:sz w:val="22"/>
          <w:szCs w:val="22"/>
        </w:rPr>
      </w:pPr>
      <w:r w:rsidRPr="00C80AE8">
        <w:rPr>
          <w:sz w:val="22"/>
          <w:szCs w:val="22"/>
        </w:rPr>
        <w:t>Antioxidant defense</w:t>
      </w:r>
    </w:p>
    <w:p w14:paraId="23D85450" w14:textId="77777777" w:rsidR="00C80AE8" w:rsidRPr="00C80AE8" w:rsidRDefault="00C80AE8" w:rsidP="00C80AE8">
      <w:pPr>
        <w:numPr>
          <w:ilvl w:val="1"/>
          <w:numId w:val="5"/>
        </w:numPr>
        <w:spacing w:after="0" w:line="240" w:lineRule="auto"/>
        <w:rPr>
          <w:sz w:val="22"/>
          <w:szCs w:val="22"/>
        </w:rPr>
      </w:pPr>
      <w:r w:rsidRPr="00C80AE8">
        <w:rPr>
          <w:sz w:val="22"/>
          <w:szCs w:val="22"/>
        </w:rPr>
        <w:t>Metabolic function and brain energy</w:t>
      </w:r>
    </w:p>
    <w:p w14:paraId="3D2738A9" w14:textId="77777777" w:rsidR="00C80AE8" w:rsidRPr="00C80AE8" w:rsidRDefault="00C80AE8" w:rsidP="00C80AE8">
      <w:pPr>
        <w:numPr>
          <w:ilvl w:val="1"/>
          <w:numId w:val="5"/>
        </w:numPr>
        <w:spacing w:after="0" w:line="240" w:lineRule="auto"/>
        <w:rPr>
          <w:sz w:val="22"/>
          <w:szCs w:val="22"/>
        </w:rPr>
      </w:pPr>
      <w:r w:rsidRPr="00C80AE8">
        <w:rPr>
          <w:sz w:val="22"/>
          <w:szCs w:val="22"/>
        </w:rPr>
        <w:t>Brain insulin resistance</w:t>
      </w:r>
    </w:p>
    <w:p w14:paraId="24B57CB2" w14:textId="77777777" w:rsidR="00C80AE8" w:rsidRPr="00C80AE8" w:rsidRDefault="00C80AE8" w:rsidP="00C80AE8">
      <w:pPr>
        <w:numPr>
          <w:ilvl w:val="1"/>
          <w:numId w:val="5"/>
        </w:numPr>
        <w:spacing w:after="0" w:line="240" w:lineRule="auto"/>
        <w:rPr>
          <w:sz w:val="22"/>
          <w:szCs w:val="22"/>
        </w:rPr>
      </w:pPr>
      <w:proofErr w:type="spellStart"/>
      <w:r w:rsidRPr="00C80AE8">
        <w:rPr>
          <w:sz w:val="22"/>
          <w:szCs w:val="22"/>
        </w:rPr>
        <w:t>ApoE</w:t>
      </w:r>
      <w:proofErr w:type="spellEnd"/>
    </w:p>
    <w:p w14:paraId="617D6F36" w14:textId="77777777" w:rsidR="00C80AE8" w:rsidRPr="00C80AE8" w:rsidRDefault="00C80AE8" w:rsidP="00C80AE8">
      <w:pPr>
        <w:numPr>
          <w:ilvl w:val="1"/>
          <w:numId w:val="5"/>
        </w:numPr>
        <w:spacing w:after="0" w:line="240" w:lineRule="auto"/>
        <w:rPr>
          <w:sz w:val="22"/>
          <w:szCs w:val="22"/>
        </w:rPr>
      </w:pPr>
      <w:r w:rsidRPr="00C80AE8">
        <w:rPr>
          <w:sz w:val="22"/>
          <w:szCs w:val="22"/>
        </w:rPr>
        <w:t>Glymphatic clearance</w:t>
      </w:r>
    </w:p>
    <w:p w14:paraId="24204D73" w14:textId="77777777" w:rsidR="00C80AE8" w:rsidRPr="00C80AE8" w:rsidRDefault="00C80AE8" w:rsidP="00C80AE8">
      <w:pPr>
        <w:numPr>
          <w:ilvl w:val="1"/>
          <w:numId w:val="5"/>
        </w:numPr>
        <w:spacing w:after="0" w:line="240" w:lineRule="auto"/>
        <w:rPr>
          <w:sz w:val="22"/>
          <w:szCs w:val="22"/>
        </w:rPr>
      </w:pPr>
      <w:r w:rsidRPr="00C80AE8">
        <w:rPr>
          <w:sz w:val="22"/>
          <w:szCs w:val="22"/>
        </w:rPr>
        <w:t>Postnatal neurogenesis</w:t>
      </w:r>
    </w:p>
    <w:p w14:paraId="0647FEA9" w14:textId="77777777" w:rsidR="00C80AE8" w:rsidRPr="00C80AE8" w:rsidRDefault="00C80AE8" w:rsidP="00C80AE8">
      <w:pPr>
        <w:numPr>
          <w:ilvl w:val="1"/>
          <w:numId w:val="5"/>
        </w:numPr>
        <w:spacing w:after="0" w:line="240" w:lineRule="auto"/>
        <w:rPr>
          <w:sz w:val="22"/>
          <w:szCs w:val="22"/>
        </w:rPr>
      </w:pPr>
      <w:r w:rsidRPr="00C80AE8">
        <w:rPr>
          <w:sz w:val="22"/>
          <w:szCs w:val="22"/>
        </w:rPr>
        <w:t>Other aging targets</w:t>
      </w:r>
    </w:p>
    <w:p w14:paraId="1301509F" w14:textId="77777777" w:rsidR="00C80AE8" w:rsidRPr="00C80AE8" w:rsidRDefault="00C80AE8" w:rsidP="00C80AE8">
      <w:pPr>
        <w:numPr>
          <w:ilvl w:val="0"/>
          <w:numId w:val="5"/>
        </w:numPr>
        <w:spacing w:after="0" w:line="240" w:lineRule="auto"/>
        <w:rPr>
          <w:sz w:val="22"/>
          <w:szCs w:val="22"/>
        </w:rPr>
      </w:pPr>
      <w:r w:rsidRPr="00C80AE8">
        <w:rPr>
          <w:sz w:val="22"/>
          <w:szCs w:val="22"/>
        </w:rPr>
        <w:t>Eligibility:</w:t>
      </w:r>
    </w:p>
    <w:p w14:paraId="347E9238" w14:textId="77777777" w:rsidR="00C80AE8" w:rsidRPr="00C80AE8" w:rsidRDefault="00C80AE8" w:rsidP="00C80AE8">
      <w:pPr>
        <w:numPr>
          <w:ilvl w:val="1"/>
          <w:numId w:val="5"/>
        </w:numPr>
        <w:spacing w:after="0" w:line="240" w:lineRule="auto"/>
        <w:rPr>
          <w:sz w:val="22"/>
          <w:szCs w:val="22"/>
        </w:rPr>
      </w:pPr>
      <w:r w:rsidRPr="00C80AE8">
        <w:rPr>
          <w:sz w:val="22"/>
          <w:szCs w:val="22"/>
        </w:rPr>
        <w:t>Academic investigators at accredited medical centers, research institutions, and universities in the United States, Canada and United Kingdom only are eligible to apply.</w:t>
      </w:r>
    </w:p>
    <w:p w14:paraId="76BC397E" w14:textId="77777777" w:rsidR="00C80AE8" w:rsidRPr="00C80AE8" w:rsidRDefault="00C80AE8" w:rsidP="00C80AE8">
      <w:pPr>
        <w:numPr>
          <w:ilvl w:val="1"/>
          <w:numId w:val="5"/>
        </w:numPr>
        <w:spacing w:after="0" w:line="240" w:lineRule="auto"/>
        <w:rPr>
          <w:sz w:val="22"/>
          <w:szCs w:val="22"/>
        </w:rPr>
      </w:pPr>
      <w:r w:rsidRPr="00C80AE8">
        <w:rPr>
          <w:sz w:val="22"/>
          <w:szCs w:val="22"/>
        </w:rPr>
        <w:t>Lead investigator must have an MD, a PhD, or equivalent.</w:t>
      </w:r>
    </w:p>
    <w:p w14:paraId="2DF69E18" w14:textId="77777777" w:rsidR="00C80AE8" w:rsidRPr="00C80AE8" w:rsidRDefault="00C80AE8" w:rsidP="00C80AE8">
      <w:pPr>
        <w:numPr>
          <w:ilvl w:val="1"/>
          <w:numId w:val="5"/>
        </w:numPr>
        <w:spacing w:after="0" w:line="240" w:lineRule="auto"/>
        <w:rPr>
          <w:sz w:val="22"/>
          <w:szCs w:val="22"/>
        </w:rPr>
      </w:pPr>
      <w:r w:rsidRPr="00C80AE8">
        <w:rPr>
          <w:sz w:val="22"/>
          <w:szCs w:val="22"/>
        </w:rPr>
        <w:t xml:space="preserve">Proposals should show potential to advance discovery into meaningful therapeutics to treat, prevent, slow, or reverse Alzheimer’s disease or related dementias (vascular dementia, frontotemporal dementia, Lewy Body dementia, LATE </w:t>
      </w:r>
      <w:proofErr w:type="spellStart"/>
      <w:r w:rsidRPr="00C80AE8">
        <w:rPr>
          <w:sz w:val="22"/>
          <w:szCs w:val="22"/>
        </w:rPr>
        <w:t>etc</w:t>
      </w:r>
      <w:proofErr w:type="spellEnd"/>
      <w:r w:rsidRPr="00C80AE8">
        <w:rPr>
          <w:sz w:val="22"/>
          <w:szCs w:val="22"/>
        </w:rPr>
        <w:t>).</w:t>
      </w:r>
    </w:p>
    <w:p w14:paraId="691BDA5B" w14:textId="77777777" w:rsidR="00C80AE8" w:rsidRPr="00C80AE8" w:rsidRDefault="00C80AE8" w:rsidP="00C80AE8">
      <w:pPr>
        <w:numPr>
          <w:ilvl w:val="1"/>
          <w:numId w:val="5"/>
        </w:numPr>
        <w:spacing w:after="0" w:line="240" w:lineRule="auto"/>
        <w:rPr>
          <w:sz w:val="22"/>
          <w:szCs w:val="22"/>
        </w:rPr>
      </w:pPr>
      <w:r w:rsidRPr="00C80AE8">
        <w:rPr>
          <w:sz w:val="22"/>
          <w:szCs w:val="22"/>
        </w:rPr>
        <w:t>Team should possess intellectual property (IP) or have potential for novel IP that has not yet been licensed to a for-profit entity.</w:t>
      </w:r>
    </w:p>
    <w:p w14:paraId="6C94B484" w14:textId="77777777" w:rsidR="00C80AE8" w:rsidRPr="00C80AE8" w:rsidRDefault="00C80AE8" w:rsidP="00C80AE8">
      <w:pPr>
        <w:numPr>
          <w:ilvl w:val="1"/>
          <w:numId w:val="5"/>
        </w:numPr>
        <w:spacing w:after="0" w:line="240" w:lineRule="auto"/>
        <w:rPr>
          <w:sz w:val="22"/>
          <w:szCs w:val="22"/>
        </w:rPr>
      </w:pPr>
      <w:r w:rsidRPr="00C80AE8">
        <w:rPr>
          <w:sz w:val="22"/>
          <w:szCs w:val="22"/>
        </w:rPr>
        <w:t>Researchers working on drug development programs that are relevant to but not presently focused on the Alzheimer’s field are strongly encouraged to apply.</w:t>
      </w:r>
    </w:p>
    <w:p w14:paraId="37446FD7" w14:textId="77777777" w:rsidR="00093A50" w:rsidRPr="00C80AE8" w:rsidRDefault="00093A50">
      <w:pPr>
        <w:rPr>
          <w:sz w:val="22"/>
          <w:szCs w:val="22"/>
        </w:rPr>
      </w:pPr>
    </w:p>
    <w:sectPr w:rsidR="00093A50" w:rsidRPr="00C80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E7963"/>
    <w:multiLevelType w:val="multilevel"/>
    <w:tmpl w:val="171E3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9E1696"/>
    <w:multiLevelType w:val="multilevel"/>
    <w:tmpl w:val="39C8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641FE"/>
    <w:multiLevelType w:val="multilevel"/>
    <w:tmpl w:val="B8CE2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B752E8"/>
    <w:multiLevelType w:val="multilevel"/>
    <w:tmpl w:val="C1EC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FE7A0F"/>
    <w:multiLevelType w:val="multilevel"/>
    <w:tmpl w:val="D70A4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54445005">
    <w:abstractNumId w:val="3"/>
  </w:num>
  <w:num w:numId="2" w16cid:durableId="712119095">
    <w:abstractNumId w:val="2"/>
  </w:num>
  <w:num w:numId="3" w16cid:durableId="331682399">
    <w:abstractNumId w:val="4"/>
  </w:num>
  <w:num w:numId="4" w16cid:durableId="1783958422">
    <w:abstractNumId w:val="0"/>
  </w:num>
  <w:num w:numId="5" w16cid:durableId="193863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E8"/>
    <w:rsid w:val="00093A50"/>
    <w:rsid w:val="000D4F4C"/>
    <w:rsid w:val="000F5CCB"/>
    <w:rsid w:val="003664C8"/>
    <w:rsid w:val="00602619"/>
    <w:rsid w:val="00A40497"/>
    <w:rsid w:val="00C80AE8"/>
    <w:rsid w:val="00E2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6648"/>
  <w15:chartTrackingRefBased/>
  <w15:docId w15:val="{3FDB8684-7947-41D6-B267-5A6769A6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A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80A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0A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80A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80A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80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A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80A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80A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80A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80A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80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AE8"/>
    <w:rPr>
      <w:rFonts w:eastAsiaTheme="majorEastAsia" w:cstheme="majorBidi"/>
      <w:color w:val="272727" w:themeColor="text1" w:themeTint="D8"/>
    </w:rPr>
  </w:style>
  <w:style w:type="paragraph" w:styleId="Title">
    <w:name w:val="Title"/>
    <w:basedOn w:val="Normal"/>
    <w:next w:val="Normal"/>
    <w:link w:val="TitleChar"/>
    <w:uiPriority w:val="10"/>
    <w:qFormat/>
    <w:rsid w:val="00C80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AE8"/>
    <w:pPr>
      <w:spacing w:before="160"/>
      <w:jc w:val="center"/>
    </w:pPr>
    <w:rPr>
      <w:i/>
      <w:iCs/>
      <w:color w:val="404040" w:themeColor="text1" w:themeTint="BF"/>
    </w:rPr>
  </w:style>
  <w:style w:type="character" w:customStyle="1" w:styleId="QuoteChar">
    <w:name w:val="Quote Char"/>
    <w:basedOn w:val="DefaultParagraphFont"/>
    <w:link w:val="Quote"/>
    <w:uiPriority w:val="29"/>
    <w:rsid w:val="00C80AE8"/>
    <w:rPr>
      <w:i/>
      <w:iCs/>
      <w:color w:val="404040" w:themeColor="text1" w:themeTint="BF"/>
    </w:rPr>
  </w:style>
  <w:style w:type="paragraph" w:styleId="ListParagraph">
    <w:name w:val="List Paragraph"/>
    <w:basedOn w:val="Normal"/>
    <w:uiPriority w:val="34"/>
    <w:qFormat/>
    <w:rsid w:val="00C80AE8"/>
    <w:pPr>
      <w:ind w:left="720"/>
      <w:contextualSpacing/>
    </w:pPr>
  </w:style>
  <w:style w:type="character" w:styleId="IntenseEmphasis">
    <w:name w:val="Intense Emphasis"/>
    <w:basedOn w:val="DefaultParagraphFont"/>
    <w:uiPriority w:val="21"/>
    <w:qFormat/>
    <w:rsid w:val="00C80AE8"/>
    <w:rPr>
      <w:i/>
      <w:iCs/>
      <w:color w:val="2E74B5" w:themeColor="accent1" w:themeShade="BF"/>
    </w:rPr>
  </w:style>
  <w:style w:type="paragraph" w:styleId="IntenseQuote">
    <w:name w:val="Intense Quote"/>
    <w:basedOn w:val="Normal"/>
    <w:next w:val="Normal"/>
    <w:link w:val="IntenseQuoteChar"/>
    <w:uiPriority w:val="30"/>
    <w:qFormat/>
    <w:rsid w:val="00C80A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80AE8"/>
    <w:rPr>
      <w:i/>
      <w:iCs/>
      <w:color w:val="2E74B5" w:themeColor="accent1" w:themeShade="BF"/>
    </w:rPr>
  </w:style>
  <w:style w:type="character" w:styleId="IntenseReference">
    <w:name w:val="Intense Reference"/>
    <w:basedOn w:val="DefaultParagraphFont"/>
    <w:uiPriority w:val="32"/>
    <w:qFormat/>
    <w:rsid w:val="00C80AE8"/>
    <w:rPr>
      <w:b/>
      <w:bCs/>
      <w:smallCaps/>
      <w:color w:val="2E74B5" w:themeColor="accent1" w:themeShade="BF"/>
      <w:spacing w:val="5"/>
    </w:rPr>
  </w:style>
  <w:style w:type="character" w:styleId="Hyperlink">
    <w:name w:val="Hyperlink"/>
    <w:basedOn w:val="DefaultParagraphFont"/>
    <w:uiPriority w:val="99"/>
    <w:unhideWhenUsed/>
    <w:rsid w:val="00C80AE8"/>
    <w:rPr>
      <w:color w:val="0563C1" w:themeColor="hyperlink"/>
      <w:u w:val="single"/>
    </w:rPr>
  </w:style>
  <w:style w:type="character" w:styleId="UnresolvedMention">
    <w:name w:val="Unresolved Mention"/>
    <w:basedOn w:val="DefaultParagraphFont"/>
    <w:uiPriority w:val="99"/>
    <w:semiHidden/>
    <w:unhideWhenUsed/>
    <w:rsid w:val="00C80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3A%2F%2Fwww.alzdiscovery.org%2Fresearch-and-grants%2Ffunding-opportunities%2Fharrington&amp;data=05%7C02%7Ccstober%40purdue.edu%7C8d1ac1c34b2d431f5fc508de8fff0de1%7C4130bd397c53419cb1e58758d6d63f21%7C1%7C0%7C639106522802868169%7CUnknown%7CTWFpbGZsb3d8eyJFbXB0eU1hcGkiOnRydWUsIlYiOiIwLjAuMDAwMCIsIlAiOiJXaW4zMiIsIkFOIjoiTWFpbCIsIldUIjoyfQ%3D%3D%7C0%7C%7C%7C&amp;sdata=IYYpBvGiZ0KQsYJrtkjKFFtv5d%2B3Rdqg8EStSOnj1q8%3D&amp;reserved=0" TargetMode="External"/><Relationship Id="rId5" Type="http://schemas.openxmlformats.org/officeDocument/2006/relationships/hyperlink" Target="https://nam04.safelinks.protection.outlook.com/?url=https%3A%2F%2Fwww.alz.org%2Fresearch%2Ffor_researchers%2Fgrants%2Ftypes-of-grants%2Fhsr-adrd&amp;data=05%7C02%7Ccstober%40purdue.edu%7C8d1ac1c34b2d431f5fc508de8fff0de1%7C4130bd397c53419cb1e58758d6d63f21%7C1%7C0%7C639106522802837343%7CUnknown%7CTWFpbGZsb3d8eyJFbXB0eU1hcGkiOnRydWUsIlYiOiIwLjAuMDAwMCIsIlAiOiJXaW4zMiIsIkFOIjoiTWFpbCIsIldUIjoyfQ%3D%3D%7C0%7C%7C%7C&amp;sdata=aWA0eSuJdAm1z%2FT8QOeMrebMRK%2Fr6XqICGmZINrzqy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4215</Characters>
  <Application>Microsoft Office Word</Application>
  <DocSecurity>0</DocSecurity>
  <Lines>60</Lines>
  <Paragraphs>26</Paragraphs>
  <ScaleCrop>false</ScaleCrop>
  <Company>Purdue University</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Anne Stober</dc:creator>
  <cp:keywords/>
  <dc:description/>
  <cp:lastModifiedBy>Christina Anne Stober</cp:lastModifiedBy>
  <cp:revision>2</cp:revision>
  <dcterms:created xsi:type="dcterms:W3CDTF">2026-04-06T13:25:00Z</dcterms:created>
  <dcterms:modified xsi:type="dcterms:W3CDTF">2026-04-13T15:45:00Z</dcterms:modified>
</cp:coreProperties>
</file>