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59" w:rsidRDefault="00D23259" w:rsidP="003069F7">
      <w:pPr>
        <w:tabs>
          <w:tab w:val="left" w:pos="4320"/>
        </w:tabs>
        <w:rPr>
          <w:rFonts w:ascii="Calibri" w:hAnsi="Calibri"/>
          <w:sz w:val="20"/>
          <w:szCs w:val="20"/>
        </w:rPr>
      </w:pPr>
    </w:p>
    <w:p w:rsidR="00F83CCA" w:rsidRPr="00B57C16" w:rsidRDefault="00F83CCA" w:rsidP="00F83CCA">
      <w:pPr>
        <w:tabs>
          <w:tab w:val="left" w:pos="4320"/>
          <w:tab w:val="right" w:pos="8880"/>
        </w:tabs>
        <w:rPr>
          <w:rFonts w:ascii="Calibri" w:hAnsi="Calibri"/>
        </w:rPr>
      </w:pPr>
      <w:r>
        <w:rPr>
          <w:rFonts w:ascii="Calibri" w:hAnsi="Calibri"/>
          <w:sz w:val="20"/>
          <w:szCs w:val="20"/>
        </w:rPr>
        <w:tab/>
      </w:r>
      <w:r>
        <w:rPr>
          <w:rFonts w:ascii="Calibri" w:hAnsi="Calibri"/>
          <w:sz w:val="20"/>
          <w:szCs w:val="20"/>
        </w:rPr>
        <w:tab/>
      </w:r>
      <w:r w:rsidRPr="00B57C16">
        <w:rPr>
          <w:rFonts w:ascii="Calibri" w:hAnsi="Calibri"/>
        </w:rPr>
        <w:t>9 July 2013</w:t>
      </w:r>
    </w:p>
    <w:p w:rsidR="00056C90" w:rsidRPr="00B57C16" w:rsidRDefault="00F83CCA" w:rsidP="00B57C16">
      <w:pPr>
        <w:tabs>
          <w:tab w:val="left" w:pos="1080"/>
          <w:tab w:val="left" w:pos="4320"/>
        </w:tabs>
        <w:spacing w:after="60"/>
        <w:rPr>
          <w:rFonts w:ascii="Calibri" w:hAnsi="Calibri"/>
        </w:rPr>
      </w:pPr>
      <w:r w:rsidRPr="006C459C">
        <w:rPr>
          <w:rFonts w:ascii="Arial Black" w:hAnsi="Arial Black"/>
          <w:sz w:val="16"/>
          <w:szCs w:val="16"/>
        </w:rPr>
        <w:t>TO:</w:t>
      </w:r>
      <w:r>
        <w:rPr>
          <w:rFonts w:ascii="Calibri" w:hAnsi="Calibri"/>
          <w:sz w:val="20"/>
          <w:szCs w:val="20"/>
        </w:rPr>
        <w:t xml:space="preserve"> </w:t>
      </w:r>
      <w:r w:rsidR="006C459C">
        <w:rPr>
          <w:rFonts w:ascii="Calibri" w:hAnsi="Calibri"/>
          <w:sz w:val="20"/>
          <w:szCs w:val="20"/>
        </w:rPr>
        <w:tab/>
      </w:r>
      <w:r w:rsidRPr="00B57C16">
        <w:rPr>
          <w:rFonts w:ascii="Calibri" w:hAnsi="Calibri"/>
        </w:rPr>
        <w:t>BNC Residents and Users</w:t>
      </w:r>
    </w:p>
    <w:p w:rsidR="00F83CCA" w:rsidRPr="00B57C16" w:rsidRDefault="00F83CCA" w:rsidP="00B57C16">
      <w:pPr>
        <w:tabs>
          <w:tab w:val="left" w:pos="1080"/>
          <w:tab w:val="left" w:pos="4320"/>
        </w:tabs>
        <w:spacing w:after="60"/>
        <w:rPr>
          <w:rFonts w:ascii="Calibri" w:hAnsi="Calibri"/>
        </w:rPr>
      </w:pPr>
      <w:r w:rsidRPr="006C459C">
        <w:rPr>
          <w:rFonts w:ascii="Arial Black" w:hAnsi="Arial Black"/>
          <w:sz w:val="16"/>
          <w:szCs w:val="16"/>
        </w:rPr>
        <w:t>FROM:</w:t>
      </w:r>
      <w:r>
        <w:rPr>
          <w:rFonts w:ascii="Calibri" w:hAnsi="Calibri"/>
          <w:sz w:val="20"/>
          <w:szCs w:val="20"/>
        </w:rPr>
        <w:t xml:space="preserve"> </w:t>
      </w:r>
      <w:r w:rsidR="006C459C">
        <w:rPr>
          <w:rFonts w:ascii="Calibri" w:hAnsi="Calibri"/>
          <w:sz w:val="20"/>
          <w:szCs w:val="20"/>
        </w:rPr>
        <w:tab/>
      </w:r>
      <w:r w:rsidRPr="00B57C16">
        <w:rPr>
          <w:rFonts w:ascii="Calibri" w:hAnsi="Calibri"/>
        </w:rPr>
        <w:t>John Weaver</w:t>
      </w:r>
    </w:p>
    <w:p w:rsidR="00F83CCA" w:rsidRPr="00B57C16" w:rsidRDefault="00F83CCA" w:rsidP="006C459C">
      <w:pPr>
        <w:tabs>
          <w:tab w:val="left" w:pos="1080"/>
          <w:tab w:val="left" w:pos="4320"/>
        </w:tabs>
        <w:rPr>
          <w:rFonts w:ascii="Calibri" w:hAnsi="Calibri"/>
        </w:rPr>
      </w:pPr>
      <w:r w:rsidRPr="006C459C">
        <w:rPr>
          <w:rFonts w:ascii="Arial Black" w:hAnsi="Arial Black"/>
          <w:sz w:val="16"/>
          <w:szCs w:val="16"/>
        </w:rPr>
        <w:t>SUBJECT:</w:t>
      </w:r>
      <w:r>
        <w:rPr>
          <w:rFonts w:ascii="Calibri" w:hAnsi="Calibri"/>
          <w:sz w:val="20"/>
          <w:szCs w:val="20"/>
        </w:rPr>
        <w:t xml:space="preserve"> </w:t>
      </w:r>
      <w:r w:rsidR="006C459C">
        <w:rPr>
          <w:rFonts w:ascii="Calibri" w:hAnsi="Calibri"/>
          <w:sz w:val="20"/>
          <w:szCs w:val="20"/>
        </w:rPr>
        <w:tab/>
      </w:r>
      <w:r w:rsidRPr="00B57C16">
        <w:rPr>
          <w:rFonts w:ascii="Calibri" w:hAnsi="Calibri"/>
        </w:rPr>
        <w:t>Package Receiving Policy Change</w:t>
      </w:r>
    </w:p>
    <w:p w:rsidR="00F83CCA" w:rsidRDefault="00F83CCA" w:rsidP="003069F7">
      <w:pPr>
        <w:tabs>
          <w:tab w:val="left" w:pos="4320"/>
        </w:tabs>
        <w:rPr>
          <w:rFonts w:ascii="Calibri" w:hAnsi="Calibri"/>
          <w:sz w:val="20"/>
          <w:szCs w:val="20"/>
        </w:rPr>
      </w:pPr>
    </w:p>
    <w:p w:rsidR="00056C90" w:rsidRPr="00B57C16" w:rsidRDefault="00F83CCA" w:rsidP="003069F7">
      <w:pPr>
        <w:tabs>
          <w:tab w:val="left" w:pos="4320"/>
        </w:tabs>
        <w:rPr>
          <w:rFonts w:ascii="Calibri" w:hAnsi="Calibri"/>
        </w:rPr>
      </w:pPr>
      <w:r w:rsidRPr="00B57C16">
        <w:rPr>
          <w:rFonts w:ascii="Calibri" w:hAnsi="Calibri"/>
        </w:rPr>
        <w:t>The Purdue policy for packages is that when a package is received, the packing slip is automatically sent to Accounts Payable to authorize payment. Unfortunately, we have had situations where a shipment was sent “short” – items listed on the packing slip were not in the package. This creates a situation whe</w:t>
      </w:r>
      <w:r w:rsidR="006C459C" w:rsidRPr="00B57C16">
        <w:rPr>
          <w:rFonts w:ascii="Calibri" w:hAnsi="Calibri"/>
        </w:rPr>
        <w:t>re the supplier is paid for items that were not received, and it is difficult for the person purchasing the material to work things out with the supplier. To correct this issue, we have developed a policy that allows the person purchasing the material an “inspection” period in which to ensure that all of the material listed on the packing slip is present and correct before the packing slip is sent on</w:t>
      </w:r>
      <w:r w:rsidR="0043798C" w:rsidRPr="00B57C16">
        <w:rPr>
          <w:rFonts w:ascii="Calibri" w:hAnsi="Calibri"/>
        </w:rPr>
        <w:t xml:space="preserve"> for payment.</w:t>
      </w:r>
    </w:p>
    <w:p w:rsidR="0043798C" w:rsidRPr="00B57C16" w:rsidRDefault="0043798C" w:rsidP="003069F7">
      <w:pPr>
        <w:tabs>
          <w:tab w:val="left" w:pos="4320"/>
        </w:tabs>
        <w:rPr>
          <w:rFonts w:ascii="Calibri" w:hAnsi="Calibri"/>
        </w:rPr>
      </w:pPr>
    </w:p>
    <w:p w:rsidR="0043798C" w:rsidRPr="00B57C16" w:rsidRDefault="0043798C" w:rsidP="003069F7">
      <w:pPr>
        <w:tabs>
          <w:tab w:val="left" w:pos="4320"/>
        </w:tabs>
        <w:rPr>
          <w:rFonts w:ascii="Calibri" w:hAnsi="Calibri"/>
        </w:rPr>
      </w:pPr>
      <w:r w:rsidRPr="00B57C16">
        <w:rPr>
          <w:rFonts w:ascii="Calibri" w:hAnsi="Calibri"/>
        </w:rPr>
        <w:t>Effective 1</w:t>
      </w:r>
      <w:r w:rsidR="00B57C16" w:rsidRPr="00B57C16">
        <w:rPr>
          <w:rFonts w:ascii="Calibri" w:hAnsi="Calibri"/>
        </w:rPr>
        <w:t>5 July</w:t>
      </w:r>
      <w:r w:rsidRPr="00B57C16">
        <w:rPr>
          <w:rFonts w:ascii="Calibri" w:hAnsi="Calibri"/>
        </w:rPr>
        <w:t xml:space="preserve"> 2013, the packing slips for all non-chemical and non-biological shipments will be held for seven calendar days from the date the material is received. With this new policy, if a shipment is received on Monday you will be sent an e-mail that day. On receipt of the e-mail, you need to pick up the package and inspect the contents. If there is a discrepancy in your shipment, you must let Lorraine or Mary Jo know right away – the packing slip will be held until you notify them that </w:t>
      </w:r>
      <w:r w:rsidR="0099596D" w:rsidRPr="00B57C16">
        <w:rPr>
          <w:rFonts w:ascii="Calibri" w:hAnsi="Calibri"/>
          <w:b/>
        </w:rPr>
        <w:t>you</w:t>
      </w:r>
      <w:r w:rsidR="0099596D" w:rsidRPr="00B57C16">
        <w:rPr>
          <w:rFonts w:ascii="Calibri" w:hAnsi="Calibri"/>
        </w:rPr>
        <w:t xml:space="preserve"> have contacted the supplier and resolved </w:t>
      </w:r>
      <w:r w:rsidRPr="00B57C16">
        <w:rPr>
          <w:rFonts w:ascii="Calibri" w:hAnsi="Calibri"/>
        </w:rPr>
        <w:t xml:space="preserve">the discrepancy. </w:t>
      </w:r>
      <w:proofErr w:type="gramStart"/>
      <w:r w:rsidRPr="00B57C16">
        <w:rPr>
          <w:rFonts w:ascii="Calibri" w:hAnsi="Calibri"/>
        </w:rPr>
        <w:t xml:space="preserve">If they do not hear from you, the packing slip will be sent on for payment </w:t>
      </w:r>
      <w:r w:rsidR="0099596D" w:rsidRPr="00B57C16">
        <w:rPr>
          <w:rFonts w:ascii="Calibri" w:hAnsi="Calibri"/>
        </w:rPr>
        <w:t xml:space="preserve">on </w:t>
      </w:r>
      <w:r w:rsidRPr="00B57C16">
        <w:rPr>
          <w:rFonts w:ascii="Calibri" w:hAnsi="Calibri"/>
        </w:rPr>
        <w:t>the following Monday.</w:t>
      </w:r>
      <w:proofErr w:type="gramEnd"/>
      <w:r w:rsidR="0099596D" w:rsidRPr="00B57C16">
        <w:rPr>
          <w:rFonts w:ascii="Calibri" w:hAnsi="Calibri"/>
        </w:rPr>
        <w:t xml:space="preserve"> Please note that the seven calendar days include holidays. Also, if you are traveling at the time the package is received it is your responsibility to have someone else check your package to ensure that all the material is present.</w:t>
      </w:r>
    </w:p>
    <w:p w:rsidR="0099596D" w:rsidRPr="00B57C16" w:rsidRDefault="0099596D" w:rsidP="003069F7">
      <w:pPr>
        <w:tabs>
          <w:tab w:val="left" w:pos="4320"/>
        </w:tabs>
        <w:rPr>
          <w:rFonts w:ascii="Calibri" w:hAnsi="Calibri"/>
        </w:rPr>
      </w:pPr>
    </w:p>
    <w:p w:rsidR="002E18CD" w:rsidRPr="00B57C16" w:rsidRDefault="0099596D" w:rsidP="003069F7">
      <w:pPr>
        <w:tabs>
          <w:tab w:val="left" w:pos="4320"/>
        </w:tabs>
        <w:rPr>
          <w:rFonts w:ascii="Calibri" w:hAnsi="Calibri"/>
        </w:rPr>
      </w:pPr>
      <w:r w:rsidRPr="00B57C16">
        <w:rPr>
          <w:rFonts w:ascii="Calibri" w:hAnsi="Calibri"/>
        </w:rPr>
        <w:t>Please note that the person ordering the parts and/or materials is responsible to ensure that everything is present, and to contact the supplier and work out any issues</w:t>
      </w:r>
      <w:r w:rsidR="002E18CD" w:rsidRPr="00B57C16">
        <w:rPr>
          <w:rFonts w:ascii="Calibri" w:hAnsi="Calibri"/>
        </w:rPr>
        <w:t xml:space="preserve">. </w:t>
      </w:r>
      <w:proofErr w:type="gramStart"/>
      <w:r w:rsidR="002E18CD" w:rsidRPr="00B57C16">
        <w:rPr>
          <w:rFonts w:ascii="Calibri" w:hAnsi="Calibri"/>
        </w:rPr>
        <w:t>If the shipment is to be returned to the vendor, please obtain a return material authorization (RMA) number and, if possible, a call-tag for the return of the material.</w:t>
      </w:r>
      <w:proofErr w:type="gramEnd"/>
    </w:p>
    <w:p w:rsidR="002E18CD" w:rsidRPr="00B57C16" w:rsidRDefault="002E18CD" w:rsidP="003069F7">
      <w:pPr>
        <w:tabs>
          <w:tab w:val="left" w:pos="4320"/>
        </w:tabs>
        <w:rPr>
          <w:rFonts w:ascii="Calibri" w:hAnsi="Calibri"/>
        </w:rPr>
      </w:pPr>
    </w:p>
    <w:p w:rsidR="002E18CD" w:rsidRPr="00B57C16" w:rsidRDefault="002E18CD" w:rsidP="003069F7">
      <w:pPr>
        <w:tabs>
          <w:tab w:val="left" w:pos="4320"/>
        </w:tabs>
        <w:rPr>
          <w:rFonts w:ascii="Calibri" w:hAnsi="Calibri"/>
        </w:rPr>
      </w:pPr>
      <w:proofErr w:type="gramStart"/>
      <w:r w:rsidRPr="00B57C16">
        <w:rPr>
          <w:rFonts w:ascii="Calibri" w:hAnsi="Calibri"/>
        </w:rPr>
        <w:t>If any questions arise, or if you have a problem with a shipment, please contact Lorraine or Mary Jo in BRK 1220 (the Mail Room).</w:t>
      </w:r>
      <w:proofErr w:type="gramEnd"/>
    </w:p>
    <w:p w:rsidR="002E18CD" w:rsidRPr="00B57C16" w:rsidRDefault="002E18CD" w:rsidP="003069F7">
      <w:pPr>
        <w:tabs>
          <w:tab w:val="left" w:pos="4320"/>
        </w:tabs>
        <w:rPr>
          <w:rFonts w:ascii="Calibri" w:hAnsi="Calibri"/>
        </w:rPr>
      </w:pPr>
    </w:p>
    <w:p w:rsidR="00B57C16" w:rsidRDefault="00B57C16" w:rsidP="003069F7">
      <w:pPr>
        <w:tabs>
          <w:tab w:val="left" w:pos="4320"/>
        </w:tabs>
        <w:rPr>
          <w:rFonts w:ascii="Calibri" w:hAnsi="Calibri"/>
        </w:rPr>
      </w:pPr>
    </w:p>
    <w:p w:rsidR="00B57C16" w:rsidRDefault="00B57C16" w:rsidP="003069F7">
      <w:pPr>
        <w:tabs>
          <w:tab w:val="left" w:pos="4320"/>
        </w:tabs>
        <w:rPr>
          <w:rFonts w:ascii="Calibri" w:hAnsi="Calibri"/>
        </w:rPr>
      </w:pPr>
    </w:p>
    <w:p w:rsidR="002E18CD" w:rsidRPr="00B57C16" w:rsidRDefault="002E18CD" w:rsidP="003069F7">
      <w:pPr>
        <w:tabs>
          <w:tab w:val="left" w:pos="4320"/>
        </w:tabs>
        <w:rPr>
          <w:rFonts w:ascii="Calibri" w:hAnsi="Calibri"/>
        </w:rPr>
      </w:pPr>
      <w:r w:rsidRPr="00B57C16">
        <w:rPr>
          <w:rFonts w:ascii="Calibri" w:hAnsi="Calibri"/>
        </w:rPr>
        <w:t>John</w:t>
      </w:r>
    </w:p>
    <w:p w:rsidR="002E18CD" w:rsidRDefault="002E18CD" w:rsidP="003069F7">
      <w:pPr>
        <w:tabs>
          <w:tab w:val="left" w:pos="4320"/>
        </w:tabs>
        <w:rPr>
          <w:rFonts w:ascii="Calibri" w:hAnsi="Calibri"/>
          <w:sz w:val="20"/>
          <w:szCs w:val="20"/>
        </w:rPr>
      </w:pPr>
    </w:p>
    <w:p w:rsidR="002E18CD" w:rsidRPr="00B57C16" w:rsidRDefault="002E18CD" w:rsidP="003069F7">
      <w:pPr>
        <w:tabs>
          <w:tab w:val="left" w:pos="4320"/>
        </w:tabs>
        <w:rPr>
          <w:rFonts w:ascii="Calibri" w:hAnsi="Calibri"/>
          <w:b/>
          <w:i/>
          <w:sz w:val="20"/>
          <w:szCs w:val="20"/>
        </w:rPr>
      </w:pPr>
      <w:r w:rsidRPr="00B57C16">
        <w:rPr>
          <w:rFonts w:ascii="Calibri" w:hAnsi="Calibri"/>
          <w:b/>
          <w:i/>
          <w:sz w:val="20"/>
          <w:szCs w:val="20"/>
        </w:rPr>
        <w:t>John R. Weaver</w:t>
      </w:r>
    </w:p>
    <w:p w:rsidR="00D23259" w:rsidRDefault="002E18CD" w:rsidP="003069F7">
      <w:pPr>
        <w:tabs>
          <w:tab w:val="left" w:pos="4320"/>
        </w:tabs>
        <w:rPr>
          <w:rFonts w:ascii="Calibri" w:hAnsi="Calibri"/>
          <w:sz w:val="20"/>
          <w:szCs w:val="20"/>
        </w:rPr>
      </w:pPr>
      <w:r w:rsidRPr="00B57C16">
        <w:rPr>
          <w:rFonts w:ascii="Calibri" w:hAnsi="Calibri"/>
          <w:b/>
          <w:i/>
          <w:sz w:val="20"/>
          <w:szCs w:val="20"/>
        </w:rPr>
        <w:t>Facility Manager</w:t>
      </w:r>
    </w:p>
    <w:sectPr w:rsidR="00D23259" w:rsidSect="005E1590">
      <w:footerReference w:type="default" r:id="rId7"/>
      <w:headerReference w:type="first" r:id="rId8"/>
      <w:footerReference w:type="first" r:id="rId9"/>
      <w:pgSz w:w="12240" w:h="15840"/>
      <w:pgMar w:top="1800" w:right="1560" w:bottom="1440" w:left="1800" w:header="806" w:footer="90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96D" w:rsidRDefault="0099596D">
      <w:r>
        <w:separator/>
      </w:r>
    </w:p>
  </w:endnote>
  <w:endnote w:type="continuationSeparator" w:id="0">
    <w:p w:rsidR="0099596D" w:rsidRDefault="009959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Frutiger 67BoldCn">
    <w:altName w:val="Courier New"/>
    <w:charset w:val="00"/>
    <w:family w:val="auto"/>
    <w:pitch w:val="variable"/>
    <w:sig w:usb0="03000000" w:usb1="00000000" w:usb2="00000000" w:usb3="00000000" w:csb0="00000001" w:csb1="00000000"/>
  </w:font>
  <w:font w:name="Frutiger 57C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6D" w:rsidRDefault="0099596D" w:rsidP="009B77DA">
    <w:pPr>
      <w:pStyle w:val="Footer"/>
      <w:spacing w:after="120" w:line="360" w:lineRule="auto"/>
      <w:ind w:left="-240"/>
      <w:rPr>
        <w:rFonts w:ascii="Arial" w:hAnsi="Arial" w:cs="Arial"/>
        <w:sz w:val="16"/>
        <w:szCs w:val="16"/>
      </w:rPr>
    </w:pPr>
  </w:p>
  <w:p w:rsidR="0099596D" w:rsidRPr="00CC6848" w:rsidRDefault="0099596D" w:rsidP="009B77DA">
    <w:pPr>
      <w:pStyle w:val="Footer"/>
      <w:tabs>
        <w:tab w:val="clear" w:pos="8640"/>
        <w:tab w:val="left" w:pos="2520"/>
        <w:tab w:val="left" w:pos="2880"/>
        <w:tab w:val="left" w:pos="3120"/>
        <w:tab w:val="left" w:pos="4320"/>
        <w:tab w:val="left" w:pos="4680"/>
        <w:tab w:val="left" w:pos="7200"/>
        <w:tab w:val="left" w:pos="7560"/>
        <w:tab w:val="left" w:pos="8880"/>
        <w:tab w:val="left" w:pos="9240"/>
      </w:tabs>
      <w:ind w:left="2520" w:right="288"/>
      <w:jc w:val="center"/>
      <w:rPr>
        <w:rFonts w:ascii="Arial" w:hAnsi="Arial" w:cs="Arial"/>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6D" w:rsidRPr="00A84258" w:rsidRDefault="0099596D" w:rsidP="009B77DA">
    <w:pPr>
      <w:pStyle w:val="Footer"/>
      <w:tabs>
        <w:tab w:val="clear" w:pos="4320"/>
        <w:tab w:val="clear" w:pos="8640"/>
        <w:tab w:val="left" w:pos="5760"/>
      </w:tabs>
      <w:spacing w:line="200" w:lineRule="exact"/>
      <w:ind w:left="1800" w:right="360"/>
      <w:rPr>
        <w:rFonts w:ascii="Frutiger 57Cn" w:hAnsi="Frutiger 57Cn" w:cs="Arial"/>
        <w:sz w:val="16"/>
        <w:szCs w:val="15"/>
      </w:rPr>
    </w:pPr>
    <w:r w:rsidRPr="002B24E8">
      <w:rPr>
        <w:noProof/>
      </w:rPr>
      <w:pict>
        <v:line id="_x0000_s2058" style="position:absolute;left:0;text-align:left;flip:y;z-index:251657216" from="0,7.95pt" to="450pt,8.2pt" strokecolor="#dfa617"/>
      </w:pict>
    </w:r>
  </w:p>
  <w:p w:rsidR="0099596D" w:rsidRPr="005E1590" w:rsidRDefault="0099596D" w:rsidP="00FB6EC3">
    <w:pPr>
      <w:pStyle w:val="Footer"/>
      <w:tabs>
        <w:tab w:val="clear" w:pos="4320"/>
        <w:tab w:val="clear" w:pos="8640"/>
        <w:tab w:val="left" w:pos="3600"/>
        <w:tab w:val="left" w:pos="7200"/>
      </w:tabs>
      <w:spacing w:line="200" w:lineRule="exact"/>
      <w:ind w:right="-120"/>
      <w:rPr>
        <w:rFonts w:ascii="Helvetica" w:hAnsi="Helvetica" w:cs="Arial"/>
        <w:sz w:val="16"/>
        <w:szCs w:val="15"/>
      </w:rPr>
    </w:pPr>
    <w:r>
      <w:rPr>
        <w:rFonts w:ascii="Helvetica" w:hAnsi="Helvetica" w:cs="Arial"/>
        <w:sz w:val="16"/>
        <w:szCs w:val="15"/>
      </w:rPr>
      <w:t>John R. Weaver</w:t>
    </w:r>
    <w:r>
      <w:rPr>
        <w:rFonts w:ascii="Helvetica" w:hAnsi="Helvetica" w:cs="Arial"/>
        <w:sz w:val="16"/>
        <w:szCs w:val="15"/>
      </w:rPr>
      <w:tab/>
      <w:t>Purdue University</w:t>
    </w:r>
    <w:r w:rsidRPr="005E1590">
      <w:rPr>
        <w:rFonts w:ascii="Helvetica" w:hAnsi="Helvetica" w:cs="Arial"/>
        <w:sz w:val="16"/>
        <w:szCs w:val="15"/>
      </w:rPr>
      <w:tab/>
      <w:t>(765) 494–</w:t>
    </w:r>
    <w:r>
      <w:rPr>
        <w:rFonts w:ascii="Helvetica" w:hAnsi="Helvetica" w:cs="Arial"/>
        <w:sz w:val="16"/>
        <w:szCs w:val="15"/>
      </w:rPr>
      <w:t>5494</w:t>
    </w:r>
  </w:p>
  <w:p w:rsidR="0099596D" w:rsidRPr="005E1590" w:rsidRDefault="0099596D" w:rsidP="00FB6EC3">
    <w:pPr>
      <w:pStyle w:val="Footer"/>
      <w:tabs>
        <w:tab w:val="clear" w:pos="4320"/>
        <w:tab w:val="clear" w:pos="8640"/>
        <w:tab w:val="left" w:pos="3600"/>
        <w:tab w:val="left" w:pos="7200"/>
      </w:tabs>
      <w:spacing w:line="200" w:lineRule="exact"/>
      <w:ind w:right="-120"/>
      <w:rPr>
        <w:rFonts w:ascii="Helvetica" w:hAnsi="Helvetica" w:cs="Arial"/>
        <w:sz w:val="16"/>
        <w:szCs w:val="15"/>
      </w:rPr>
    </w:pPr>
    <w:r>
      <w:rPr>
        <w:rFonts w:ascii="Helvetica" w:hAnsi="Helvetica" w:cs="Arial"/>
        <w:sz w:val="16"/>
        <w:szCs w:val="15"/>
      </w:rPr>
      <w:t>Facility Manager</w:t>
    </w:r>
    <w:r>
      <w:rPr>
        <w:rFonts w:ascii="Helvetica" w:hAnsi="Helvetica" w:cs="Arial"/>
        <w:sz w:val="16"/>
        <w:szCs w:val="15"/>
      </w:rPr>
      <w:tab/>
      <w:t>1</w:t>
    </w:r>
    <w:r w:rsidRPr="005E1590">
      <w:rPr>
        <w:rFonts w:ascii="Helvetica" w:hAnsi="Helvetica" w:cs="Arial"/>
        <w:sz w:val="16"/>
        <w:szCs w:val="15"/>
      </w:rPr>
      <w:t>205 West State Street</w:t>
    </w:r>
    <w:r>
      <w:rPr>
        <w:rFonts w:ascii="Helvetica" w:hAnsi="Helvetica" w:cs="Arial"/>
        <w:sz w:val="16"/>
        <w:szCs w:val="15"/>
      </w:rPr>
      <w:tab/>
      <w:t>jrweaver</w:t>
    </w:r>
    <w:r w:rsidRPr="005E1590">
      <w:rPr>
        <w:rFonts w:ascii="Helvetica" w:hAnsi="Helvetica" w:cs="Arial"/>
        <w:sz w:val="16"/>
        <w:szCs w:val="15"/>
      </w:rPr>
      <w:t>@purdue.edu</w:t>
    </w:r>
  </w:p>
  <w:p w:rsidR="0099596D" w:rsidRPr="005E1590" w:rsidRDefault="0099596D" w:rsidP="00FB6EC3">
    <w:pPr>
      <w:pStyle w:val="Footer"/>
      <w:tabs>
        <w:tab w:val="clear" w:pos="4320"/>
        <w:tab w:val="clear" w:pos="8640"/>
        <w:tab w:val="left" w:pos="3600"/>
        <w:tab w:val="left" w:pos="7200"/>
      </w:tabs>
      <w:spacing w:line="200" w:lineRule="exact"/>
      <w:ind w:right="-120"/>
      <w:rPr>
        <w:rFonts w:ascii="Helvetica" w:hAnsi="Helvetica"/>
        <w:sz w:val="16"/>
      </w:rPr>
    </w:pPr>
    <w:r w:rsidRPr="005E1590">
      <w:rPr>
        <w:rFonts w:ascii="Helvetica" w:hAnsi="Helvetica" w:cs="Arial"/>
        <w:sz w:val="16"/>
        <w:szCs w:val="15"/>
      </w:rPr>
      <w:t>Birck Nanotechnology Center</w:t>
    </w:r>
    <w:r>
      <w:rPr>
        <w:rFonts w:ascii="Helvetica" w:hAnsi="Helvetica" w:cs="Arial"/>
        <w:sz w:val="16"/>
        <w:szCs w:val="15"/>
      </w:rPr>
      <w:tab/>
    </w:r>
    <w:r w:rsidRPr="005E1590">
      <w:rPr>
        <w:rFonts w:ascii="Helvetica" w:hAnsi="Helvetica" w:cs="Arial"/>
        <w:sz w:val="16"/>
        <w:szCs w:val="15"/>
      </w:rPr>
      <w:t>West Lafayette, IN  47907–2057</w:t>
    </w:r>
    <w:r w:rsidRPr="005E1590">
      <w:rPr>
        <w:rFonts w:ascii="Helvetica" w:hAnsi="Helvetica" w:cs="Arial"/>
        <w:sz w:val="16"/>
        <w:szCs w:val="15"/>
      </w:rPr>
      <w:tab/>
    </w:r>
    <w:r w:rsidRPr="005E1590">
      <w:rPr>
        <w:rFonts w:ascii="Helvetica" w:hAnsi="Helvetica" w:cs="Arial"/>
        <w:color w:val="000000"/>
        <w:sz w:val="16"/>
        <w:szCs w:val="15"/>
      </w:rPr>
      <w:t>www.nano.purdue.edu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96D" w:rsidRDefault="0099596D">
      <w:r>
        <w:separator/>
      </w:r>
    </w:p>
  </w:footnote>
  <w:footnote w:type="continuationSeparator" w:id="0">
    <w:p w:rsidR="0099596D" w:rsidRDefault="00995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6D" w:rsidRDefault="0099596D" w:rsidP="009B77DA">
    <w:pPr>
      <w:pStyle w:val="Header"/>
      <w:tabs>
        <w:tab w:val="clear" w:pos="4320"/>
        <w:tab w:val="clear" w:pos="8640"/>
      </w:tabs>
      <w:ind w:left="4680" w:right="840"/>
    </w:pPr>
    <w:r>
      <w:rPr>
        <w:noProof/>
        <w:szCs w:val="20"/>
      </w:rPr>
      <w:drawing>
        <wp:anchor distT="0" distB="0" distL="114300" distR="114300" simplePos="0" relativeHeight="251658240" behindDoc="0" locked="0" layoutInCell="1" allowOverlap="1">
          <wp:simplePos x="0" y="0"/>
          <wp:positionH relativeFrom="column">
            <wp:posOffset>-76200</wp:posOffset>
          </wp:positionH>
          <wp:positionV relativeFrom="paragraph">
            <wp:posOffset>-54610</wp:posOffset>
          </wp:positionV>
          <wp:extent cx="2743200" cy="749300"/>
          <wp:effectExtent l="19050" t="0" r="0" b="0"/>
          <wp:wrapNone/>
          <wp:docPr id="13" name="Picture 13" descr="DP_PUmark25-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P_PUmark25-4_2"/>
                  <pic:cNvPicPr>
                    <a:picLocks noChangeAspect="1" noChangeArrowheads="1"/>
                  </pic:cNvPicPr>
                </pic:nvPicPr>
                <pic:blipFill>
                  <a:blip r:embed="rId1"/>
                  <a:srcRect/>
                  <a:stretch>
                    <a:fillRect/>
                  </a:stretch>
                </pic:blipFill>
                <pic:spPr bwMode="auto">
                  <a:xfrm>
                    <a:off x="0" y="0"/>
                    <a:ext cx="2743200" cy="749300"/>
                  </a:xfrm>
                  <a:prstGeom prst="rect">
                    <a:avLst/>
                  </a:prstGeom>
                  <a:noFill/>
                  <a:ln w="9525">
                    <a:noFill/>
                    <a:miter lim="800000"/>
                    <a:headEnd/>
                    <a:tailEnd/>
                  </a:ln>
                </pic:spPr>
              </pic:pic>
            </a:graphicData>
          </a:graphic>
        </wp:anchor>
      </w:drawing>
    </w:r>
    <w:r>
      <w:tab/>
    </w:r>
    <w:r>
      <w:br/>
    </w:r>
  </w:p>
  <w:p w:rsidR="0099596D" w:rsidRPr="00BD2A86" w:rsidRDefault="0099596D" w:rsidP="009B77DA">
    <w:pPr>
      <w:pStyle w:val="Header"/>
      <w:tabs>
        <w:tab w:val="clear" w:pos="4320"/>
        <w:tab w:val="left" w:pos="6360"/>
      </w:tabs>
      <w:ind w:left="4680" w:right="840"/>
      <w:rPr>
        <w:sz w:val="4"/>
      </w:rPr>
    </w:pPr>
  </w:p>
  <w:p w:rsidR="0099596D" w:rsidRPr="005E1590" w:rsidRDefault="0099596D" w:rsidP="00364D70">
    <w:pPr>
      <w:pStyle w:val="Header"/>
      <w:tabs>
        <w:tab w:val="clear" w:pos="4320"/>
      </w:tabs>
      <w:ind w:left="4680" w:right="-30"/>
      <w:jc w:val="right"/>
      <w:rPr>
        <w:rFonts w:ascii="Helvetica" w:hAnsi="Helvetica" w:cs="Arial"/>
        <w:szCs w:val="20"/>
      </w:rPr>
    </w:pPr>
    <w:smartTag w:uri="urn:schemas-microsoft-com:office:smarttags" w:element="place">
      <w:smartTag w:uri="urn:schemas-microsoft-com:office:smarttags" w:element="PlaceName">
        <w:r w:rsidRPr="005E1590">
          <w:rPr>
            <w:rFonts w:ascii="Helvetica" w:hAnsi="Helvetica" w:cs="Arial"/>
            <w:szCs w:val="20"/>
          </w:rPr>
          <w:t>Birck</w:t>
        </w:r>
      </w:smartTag>
      <w:r w:rsidRPr="005E1590">
        <w:rPr>
          <w:rFonts w:ascii="Helvetica" w:hAnsi="Helvetica" w:cs="Arial"/>
          <w:szCs w:val="20"/>
        </w:rPr>
        <w:t xml:space="preserve"> </w:t>
      </w:r>
      <w:smartTag w:uri="urn:schemas-microsoft-com:office:smarttags" w:element="PlaceName">
        <w:r w:rsidRPr="005E1590">
          <w:rPr>
            <w:rFonts w:ascii="Helvetica" w:hAnsi="Helvetica" w:cs="Arial"/>
            <w:szCs w:val="20"/>
          </w:rPr>
          <w:t>Nanotechnology</w:t>
        </w:r>
      </w:smartTag>
      <w:r w:rsidRPr="005E1590">
        <w:rPr>
          <w:rFonts w:ascii="Helvetica" w:hAnsi="Helvetica" w:cs="Arial"/>
          <w:szCs w:val="20"/>
        </w:rPr>
        <w:t xml:space="preserve"> </w:t>
      </w:r>
      <w:smartTag w:uri="urn:schemas-microsoft-com:office:smarttags" w:element="PlaceType">
        <w:r w:rsidRPr="005E1590">
          <w:rPr>
            <w:rFonts w:ascii="Helvetica" w:hAnsi="Helvetica" w:cs="Arial"/>
            <w:szCs w:val="20"/>
          </w:rPr>
          <w:t>Center</w:t>
        </w:r>
      </w:smartTag>
    </w:smartTag>
  </w:p>
  <w:p w:rsidR="0099596D" w:rsidRPr="00A84258" w:rsidRDefault="0099596D" w:rsidP="00364D70">
    <w:pPr>
      <w:pStyle w:val="Header"/>
      <w:tabs>
        <w:tab w:val="clear" w:pos="4320"/>
      </w:tabs>
      <w:ind w:left="4680" w:right="-30"/>
      <w:jc w:val="right"/>
      <w:rPr>
        <w:rFonts w:ascii="Frutiger 67BoldCn" w:hAnsi="Frutiger 67BoldCn"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6342E"/>
    <w:multiLevelType w:val="hybridMultilevel"/>
    <w:tmpl w:val="2C308CE6"/>
    <w:lvl w:ilvl="0" w:tplc="6694C9F8">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44490"/>
    <w:multiLevelType w:val="hybridMultilevel"/>
    <w:tmpl w:val="0EFC3F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85F6E98"/>
    <w:multiLevelType w:val="hybridMultilevel"/>
    <w:tmpl w:val="227E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hdrShapeDefaults>
    <o:shapedefaults v:ext="edit" spidmax="2059">
      <o:colormru v:ext="edit" colors="#c90,#ef9819,#dfa617"/>
      <o:colormenu v:ext="edit" strokecolor="#c90"/>
    </o:shapedefaults>
    <o:shapelayout v:ext="edit">
      <o:idmap v:ext="edit" data="2"/>
    </o:shapelayout>
  </w:hdrShapeDefaults>
  <w:footnotePr>
    <w:footnote w:id="-1"/>
    <w:footnote w:id="0"/>
  </w:footnotePr>
  <w:endnotePr>
    <w:endnote w:id="-1"/>
    <w:endnote w:id="0"/>
  </w:endnotePr>
  <w:compat/>
  <w:rsids>
    <w:rsidRoot w:val="005E1590"/>
    <w:rsid w:val="00056C90"/>
    <w:rsid w:val="000B1760"/>
    <w:rsid w:val="000D4BC0"/>
    <w:rsid w:val="00153519"/>
    <w:rsid w:val="001E1EA6"/>
    <w:rsid w:val="001F1BCA"/>
    <w:rsid w:val="00213CFC"/>
    <w:rsid w:val="00294A34"/>
    <w:rsid w:val="002B24E8"/>
    <w:rsid w:val="002E18CD"/>
    <w:rsid w:val="003069F7"/>
    <w:rsid w:val="00336C3E"/>
    <w:rsid w:val="00364D70"/>
    <w:rsid w:val="00381FC9"/>
    <w:rsid w:val="003B7C9B"/>
    <w:rsid w:val="0040640E"/>
    <w:rsid w:val="0042227A"/>
    <w:rsid w:val="0043798C"/>
    <w:rsid w:val="004A5429"/>
    <w:rsid w:val="004E7C39"/>
    <w:rsid w:val="005750DC"/>
    <w:rsid w:val="005E1590"/>
    <w:rsid w:val="006C459C"/>
    <w:rsid w:val="008645C6"/>
    <w:rsid w:val="009022A0"/>
    <w:rsid w:val="0098186E"/>
    <w:rsid w:val="0099596D"/>
    <w:rsid w:val="009B77DA"/>
    <w:rsid w:val="00A03D1D"/>
    <w:rsid w:val="00B57C16"/>
    <w:rsid w:val="00C46073"/>
    <w:rsid w:val="00CC599C"/>
    <w:rsid w:val="00CD1AFB"/>
    <w:rsid w:val="00D03346"/>
    <w:rsid w:val="00D23259"/>
    <w:rsid w:val="00DB19B1"/>
    <w:rsid w:val="00DF166C"/>
    <w:rsid w:val="00E70573"/>
    <w:rsid w:val="00ED3F66"/>
    <w:rsid w:val="00EF0579"/>
    <w:rsid w:val="00F16DCC"/>
    <w:rsid w:val="00F21884"/>
    <w:rsid w:val="00F43497"/>
    <w:rsid w:val="00F83CCA"/>
    <w:rsid w:val="00F969DD"/>
    <w:rsid w:val="00FB6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9">
      <o:colormru v:ext="edit" colors="#c90,#ef9819,#dfa617"/>
      <o:colormenu v:ext="edit" strokecolor="#c9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4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27FB"/>
    <w:pPr>
      <w:tabs>
        <w:tab w:val="center" w:pos="4320"/>
        <w:tab w:val="right" w:pos="8640"/>
      </w:tabs>
    </w:pPr>
  </w:style>
  <w:style w:type="paragraph" w:styleId="Footer">
    <w:name w:val="footer"/>
    <w:basedOn w:val="Normal"/>
    <w:rsid w:val="00C427FB"/>
    <w:pPr>
      <w:tabs>
        <w:tab w:val="center" w:pos="4320"/>
        <w:tab w:val="right" w:pos="8640"/>
      </w:tabs>
    </w:pPr>
  </w:style>
  <w:style w:type="paragraph" w:styleId="BalloonText">
    <w:name w:val="Balloon Text"/>
    <w:basedOn w:val="Normal"/>
    <w:semiHidden/>
    <w:rsid w:val="00C427FB"/>
    <w:rPr>
      <w:rFonts w:ascii="Tahoma" w:hAnsi="Tahoma" w:cs="Tahoma"/>
      <w:sz w:val="16"/>
      <w:szCs w:val="16"/>
    </w:rPr>
  </w:style>
  <w:style w:type="paragraph" w:styleId="BodyText2">
    <w:name w:val="Body Text 2"/>
    <w:basedOn w:val="Normal"/>
    <w:rsid w:val="00524D0B"/>
    <w:pPr>
      <w:jc w:val="both"/>
    </w:pPr>
    <w:rPr>
      <w:rFonts w:ascii="Times" w:eastAsia="Times" w:hAnsi="Times"/>
      <w:sz w:val="22"/>
      <w:szCs w:val="20"/>
    </w:rPr>
  </w:style>
  <w:style w:type="paragraph" w:styleId="ListParagraph">
    <w:name w:val="List Paragraph"/>
    <w:basedOn w:val="Normal"/>
    <w:uiPriority w:val="34"/>
    <w:qFormat/>
    <w:rsid w:val="00336C3E"/>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056C9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6C90"/>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071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weaver\Local%20Settings\Temporary%20Internet%20Files\OLK4616\BN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BNC letterhead</Template>
  <TotalTime>102</TotalTime>
  <Pages>1</Pages>
  <Words>388</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July 27th, 2007</vt:lpstr>
    </vt:vector>
  </TitlesOfParts>
  <Company>Purdue University</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27th, 2007</dc:title>
  <dc:subject/>
  <dc:creator>John Weaver</dc:creator>
  <cp:keywords/>
  <dc:description/>
  <cp:lastModifiedBy>jrweaver</cp:lastModifiedBy>
  <cp:revision>5</cp:revision>
  <cp:lastPrinted>2013-07-09T13:57:00Z</cp:lastPrinted>
  <dcterms:created xsi:type="dcterms:W3CDTF">2013-07-09T12:46:00Z</dcterms:created>
  <dcterms:modified xsi:type="dcterms:W3CDTF">2013-07-09T14:27:00Z</dcterms:modified>
</cp:coreProperties>
</file>